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17C" w:rsidRPr="001C3DB3" w:rsidRDefault="004B417C">
      <w:pPr>
        <w:pStyle w:val="Header"/>
        <w:tabs>
          <w:tab w:val="clear" w:pos="4536"/>
          <w:tab w:val="clear" w:pos="9072"/>
        </w:tabs>
        <w:spacing w:line="240" w:lineRule="auto"/>
        <w:jc w:val="both"/>
      </w:pPr>
      <w:r w:rsidRPr="001C3DB3">
        <w:tab/>
      </w:r>
    </w:p>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b/>
          <w:highlight w:val="yellow"/>
        </w:rPr>
      </w:pPr>
      <w:bookmarkStart w:id="0" w:name="Start"/>
      <w:bookmarkEnd w:id="0"/>
    </w:p>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b/>
          <w:highlight w:val="yellow"/>
        </w:rPr>
      </w:pPr>
    </w:p>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center"/>
        <w:rPr>
          <w:b/>
          <w:highlight w:val="yellow"/>
          <w:lang w:val="el-GR"/>
        </w:rPr>
      </w:pPr>
      <w:r>
        <w:object w:dxaOrig="3810" w:dyaOrig="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5pt;height:31.5pt" o:ole="">
            <v:imagedata r:id="rId7" o:title=""/>
          </v:shape>
          <o:OLEObject Type="Embed" ProgID="MSPhotoEd.3" ShapeID="_x0000_i1025" DrawAspect="Content" ObjectID="_1430570075" r:id="rId8"/>
        </w:object>
      </w:r>
    </w:p>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center"/>
        <w:rPr>
          <w:b/>
          <w:highlight w:val="yellow"/>
          <w:lang w:val="el-GR"/>
        </w:rPr>
      </w:pPr>
    </w:p>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ind w:left="3969"/>
        <w:jc w:val="both"/>
        <w:rPr>
          <w:b/>
          <w:bCs/>
          <w:sz w:val="24"/>
        </w:rPr>
      </w:pPr>
    </w:p>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ind w:left="3969"/>
        <w:jc w:val="both"/>
        <w:rPr>
          <w:b/>
          <w:bCs/>
          <w:sz w:val="24"/>
        </w:rPr>
      </w:pPr>
    </w:p>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ind w:left="3969"/>
        <w:jc w:val="both"/>
        <w:rPr>
          <w:b/>
          <w:bCs/>
          <w:sz w:val="24"/>
        </w:rPr>
      </w:pPr>
    </w:p>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ind w:left="3969"/>
        <w:jc w:val="both"/>
        <w:rPr>
          <w:b/>
          <w:bCs/>
          <w:sz w:val="24"/>
        </w:rPr>
      </w:pPr>
    </w:p>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ind w:left="3969"/>
        <w:jc w:val="both"/>
        <w:rPr>
          <w:b/>
          <w:bCs/>
          <w:sz w:val="24"/>
        </w:rPr>
      </w:pPr>
    </w:p>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ind w:left="3969"/>
        <w:jc w:val="both"/>
        <w:rPr>
          <w:b/>
          <w:bCs/>
          <w:sz w:val="24"/>
        </w:rPr>
      </w:pPr>
    </w:p>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ind w:left="3969"/>
        <w:jc w:val="both"/>
        <w:rPr>
          <w:b/>
          <w:bCs/>
          <w:sz w:val="24"/>
        </w:rPr>
      </w:pPr>
    </w:p>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ind w:left="3969"/>
        <w:jc w:val="both"/>
        <w:rPr>
          <w:b/>
          <w:bCs/>
          <w:sz w:val="24"/>
        </w:rPr>
      </w:pPr>
    </w:p>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ind w:left="3969"/>
        <w:jc w:val="both"/>
        <w:rPr>
          <w:b/>
          <w:bCs/>
          <w:sz w:val="24"/>
        </w:rPr>
      </w:pPr>
    </w:p>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ind w:left="3969"/>
        <w:jc w:val="both"/>
        <w:rPr>
          <w:b/>
          <w:bCs/>
          <w:sz w:val="24"/>
        </w:rPr>
      </w:pPr>
    </w:p>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center"/>
        <w:outlineLvl w:val="0"/>
        <w:rPr>
          <w:b/>
          <w:bCs/>
          <w:sz w:val="28"/>
          <w:szCs w:val="28"/>
        </w:rPr>
      </w:pPr>
    </w:p>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center"/>
        <w:outlineLvl w:val="0"/>
        <w:rPr>
          <w:b/>
          <w:bCs/>
          <w:sz w:val="28"/>
          <w:szCs w:val="28"/>
        </w:rPr>
      </w:pPr>
    </w:p>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center"/>
        <w:outlineLvl w:val="0"/>
        <w:rPr>
          <w:b/>
          <w:bCs/>
          <w:sz w:val="28"/>
          <w:szCs w:val="28"/>
          <w:lang w:val="el-GR"/>
        </w:rPr>
      </w:pPr>
      <w:r>
        <w:rPr>
          <w:b/>
          <w:bCs/>
          <w:sz w:val="28"/>
          <w:szCs w:val="28"/>
        </w:rPr>
        <w:t>ATE</w:t>
      </w:r>
      <w:r>
        <w:rPr>
          <w:b/>
          <w:bCs/>
          <w:sz w:val="28"/>
          <w:szCs w:val="28"/>
          <w:lang w:val="el-GR"/>
        </w:rPr>
        <w:t xml:space="preserve"> </w:t>
      </w:r>
      <w:r>
        <w:rPr>
          <w:b/>
          <w:bCs/>
          <w:sz w:val="28"/>
          <w:szCs w:val="28"/>
        </w:rPr>
        <w:t>LEASING</w:t>
      </w:r>
      <w:r>
        <w:rPr>
          <w:b/>
          <w:bCs/>
          <w:sz w:val="28"/>
          <w:szCs w:val="28"/>
          <w:lang w:val="el-GR"/>
        </w:rPr>
        <w:t xml:space="preserve"> Α.Ε.</w:t>
      </w:r>
    </w:p>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before="120" w:after="120" w:line="240" w:lineRule="auto"/>
        <w:jc w:val="center"/>
        <w:outlineLvl w:val="0"/>
        <w:rPr>
          <w:bCs/>
          <w:sz w:val="24"/>
          <w:szCs w:val="24"/>
          <w:lang w:val="el-GR"/>
        </w:rPr>
      </w:pPr>
      <w:r>
        <w:rPr>
          <w:bCs/>
          <w:sz w:val="24"/>
          <w:szCs w:val="24"/>
          <w:lang w:val="el-GR"/>
        </w:rPr>
        <w:t>ΟΙΚΟΝΟΜΙΚΕΣ ΚΑΤΑΣΤΑΣΕΙΣ</w:t>
      </w:r>
    </w:p>
    <w:p w:rsidR="004B417C" w:rsidRPr="00915E21"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before="120" w:after="120" w:line="240" w:lineRule="auto"/>
        <w:jc w:val="center"/>
        <w:outlineLvl w:val="0"/>
        <w:rPr>
          <w:bCs/>
          <w:sz w:val="24"/>
          <w:szCs w:val="24"/>
          <w:lang w:val="el-GR"/>
        </w:rPr>
      </w:pPr>
      <w:r>
        <w:rPr>
          <w:bCs/>
          <w:sz w:val="24"/>
          <w:szCs w:val="24"/>
          <w:lang w:val="el-GR"/>
        </w:rPr>
        <w:t>της 31</w:t>
      </w:r>
      <w:r w:rsidRPr="0067353B">
        <w:rPr>
          <w:bCs/>
          <w:sz w:val="24"/>
          <w:szCs w:val="24"/>
          <w:vertAlign w:val="superscript"/>
          <w:lang w:val="el-GR"/>
        </w:rPr>
        <w:t>ης</w:t>
      </w:r>
      <w:r>
        <w:rPr>
          <w:bCs/>
          <w:sz w:val="24"/>
          <w:szCs w:val="24"/>
          <w:lang w:val="el-GR"/>
        </w:rPr>
        <w:t xml:space="preserve"> Δεκεμβρίου 201</w:t>
      </w:r>
      <w:r w:rsidRPr="00915E21">
        <w:rPr>
          <w:bCs/>
          <w:sz w:val="24"/>
          <w:szCs w:val="24"/>
          <w:lang w:val="el-GR"/>
        </w:rPr>
        <w:t>2</w:t>
      </w:r>
    </w:p>
    <w:p w:rsidR="004B417C" w:rsidRPr="001B2018" w:rsidRDefault="004B417C">
      <w:pPr>
        <w:pStyle w:val="Heading2"/>
        <w:jc w:val="center"/>
        <w:rPr>
          <w:b w:val="0"/>
          <w:lang w:val="el-GR"/>
        </w:rPr>
      </w:pPr>
      <w:r>
        <w:rPr>
          <w:b w:val="0"/>
          <w:lang w:val="el-GR"/>
        </w:rPr>
        <w:t>Βάσει των Διεθνών Προτύπων Χρηματοοικονομικής Αναφοράς</w:t>
      </w:r>
    </w:p>
    <w:p w:rsidR="004B417C" w:rsidRPr="001B2018"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rPr>
          <w:szCs w:val="28"/>
          <w:highlight w:val="yellow"/>
          <w:lang w:val="el-GR"/>
        </w:rPr>
      </w:pPr>
    </w:p>
    <w:p w:rsidR="004B417C" w:rsidRPr="001B2018"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rPr>
          <w:szCs w:val="28"/>
          <w:highlight w:val="yellow"/>
          <w:lang w:val="el-GR"/>
        </w:rPr>
      </w:pPr>
    </w:p>
    <w:p w:rsidR="004B417C" w:rsidRPr="001B2018"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rPr>
          <w:szCs w:val="28"/>
          <w:highlight w:val="yellow"/>
          <w:lang w:val="el-GR"/>
        </w:rPr>
      </w:pPr>
    </w:p>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rPr>
          <w:szCs w:val="28"/>
          <w:highlight w:val="yellow"/>
          <w:lang w:val="el-GR"/>
        </w:rPr>
      </w:pPr>
    </w:p>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rPr>
          <w:szCs w:val="28"/>
          <w:highlight w:val="yellow"/>
          <w:lang w:val="el-GR"/>
        </w:rPr>
      </w:pPr>
    </w:p>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rPr>
          <w:szCs w:val="28"/>
          <w:highlight w:val="yellow"/>
          <w:lang w:val="el-GR"/>
        </w:rPr>
      </w:pPr>
    </w:p>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rPr>
          <w:szCs w:val="28"/>
          <w:highlight w:val="yellow"/>
          <w:lang w:val="el-GR"/>
        </w:rPr>
      </w:pPr>
    </w:p>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rPr>
          <w:szCs w:val="28"/>
          <w:highlight w:val="yellow"/>
          <w:lang w:val="el-GR"/>
        </w:rPr>
      </w:pPr>
    </w:p>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rPr>
          <w:szCs w:val="28"/>
          <w:highlight w:val="yellow"/>
          <w:lang w:val="el-GR"/>
        </w:rPr>
      </w:pPr>
    </w:p>
    <w:p w:rsidR="004B417C" w:rsidRPr="001B2018"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rPr>
          <w:szCs w:val="28"/>
          <w:highlight w:val="yellow"/>
          <w:lang w:val="el-GR"/>
        </w:rPr>
      </w:pPr>
    </w:p>
    <w:p w:rsidR="004B417C" w:rsidRPr="001B2018"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rPr>
          <w:szCs w:val="28"/>
          <w:highlight w:val="yellow"/>
          <w:lang w:val="el-GR"/>
        </w:rPr>
      </w:pPr>
    </w:p>
    <w:p w:rsidR="004B417C" w:rsidRPr="001B2018"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rPr>
          <w:szCs w:val="28"/>
          <w:highlight w:val="yellow"/>
          <w:lang w:val="el-GR"/>
        </w:rPr>
      </w:pPr>
    </w:p>
    <w:p w:rsidR="004B417C" w:rsidRPr="001B2018"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rPr>
          <w:szCs w:val="28"/>
          <w:highlight w:val="yellow"/>
          <w:lang w:val="el-GR"/>
        </w:rPr>
      </w:pPr>
    </w:p>
    <w:p w:rsidR="004B417C" w:rsidRPr="001B2018"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after="120" w:line="240" w:lineRule="auto"/>
        <w:jc w:val="center"/>
        <w:rPr>
          <w:lang w:val="el-GR"/>
        </w:rPr>
      </w:pPr>
    </w:p>
    <w:p w:rsidR="004B417C" w:rsidRPr="001B2018"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after="120" w:line="240" w:lineRule="auto"/>
        <w:jc w:val="center"/>
        <w:rPr>
          <w:lang w:val="el-GR"/>
        </w:rPr>
      </w:pPr>
    </w:p>
    <w:p w:rsidR="004B417C" w:rsidRPr="001B2018"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after="120" w:line="240" w:lineRule="auto"/>
        <w:jc w:val="center"/>
        <w:rPr>
          <w:lang w:val="el-GR"/>
        </w:rPr>
      </w:pPr>
    </w:p>
    <w:p w:rsidR="004B417C" w:rsidRPr="001B2018"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after="120" w:line="240" w:lineRule="auto"/>
        <w:jc w:val="center"/>
        <w:rPr>
          <w:lang w:val="el-GR"/>
        </w:rPr>
      </w:pPr>
    </w:p>
    <w:p w:rsidR="004B417C" w:rsidRPr="001B2018"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after="120" w:line="240" w:lineRule="auto"/>
        <w:jc w:val="center"/>
        <w:rPr>
          <w:lang w:val="el-GR"/>
        </w:rPr>
      </w:pPr>
    </w:p>
    <w:p w:rsidR="004B417C" w:rsidRPr="001B2018"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after="120" w:line="240" w:lineRule="auto"/>
        <w:jc w:val="center"/>
        <w:rPr>
          <w:lang w:val="el-GR"/>
        </w:rPr>
      </w:pPr>
    </w:p>
    <w:p w:rsidR="004B417C" w:rsidRPr="001B2018"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after="120" w:line="240" w:lineRule="auto"/>
        <w:jc w:val="center"/>
        <w:rPr>
          <w:lang w:val="el-GR"/>
        </w:rPr>
      </w:pPr>
    </w:p>
    <w:p w:rsidR="004B417C" w:rsidRPr="001B2018"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after="120" w:line="240" w:lineRule="auto"/>
        <w:jc w:val="center"/>
        <w:rPr>
          <w:lang w:val="el-GR"/>
        </w:rPr>
      </w:pPr>
    </w:p>
    <w:p w:rsidR="004B417C" w:rsidRPr="001B2018"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after="120" w:line="240" w:lineRule="auto"/>
        <w:jc w:val="center"/>
        <w:rPr>
          <w:lang w:val="el-GR"/>
        </w:rPr>
      </w:pPr>
    </w:p>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after="120" w:line="240" w:lineRule="auto"/>
        <w:jc w:val="center"/>
        <w:rPr>
          <w:lang w:val="el-GR"/>
        </w:rPr>
      </w:pPr>
      <w:r>
        <w:rPr>
          <w:lang w:val="el-GR"/>
        </w:rPr>
        <w:t>Ερμού 2, Αθήνα Τ.Κ. 105 63</w:t>
      </w:r>
    </w:p>
    <w:p w:rsidR="004B417C" w:rsidRDefault="005C304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after="120" w:line="240" w:lineRule="auto"/>
        <w:jc w:val="center"/>
        <w:rPr>
          <w:szCs w:val="28"/>
          <w:highlight w:val="yellow"/>
          <w:lang w:val="el-GR"/>
        </w:rPr>
      </w:pPr>
      <w:hyperlink r:id="rId9" w:history="1">
        <w:r w:rsidR="004B417C">
          <w:rPr>
            <w:rStyle w:val="Hyperlink"/>
          </w:rPr>
          <w:t>www</w:t>
        </w:r>
        <w:r w:rsidR="004B417C">
          <w:rPr>
            <w:rStyle w:val="Hyperlink"/>
            <w:lang w:val="el-GR"/>
          </w:rPr>
          <w:t>.</w:t>
        </w:r>
        <w:r w:rsidR="004B417C">
          <w:rPr>
            <w:rStyle w:val="Hyperlink"/>
          </w:rPr>
          <w:t>ateleasing</w:t>
        </w:r>
        <w:r w:rsidR="004B417C">
          <w:rPr>
            <w:rStyle w:val="Hyperlink"/>
            <w:lang w:val="el-GR"/>
          </w:rPr>
          <w:t>.</w:t>
        </w:r>
        <w:r w:rsidR="004B417C">
          <w:rPr>
            <w:rStyle w:val="Hyperlink"/>
          </w:rPr>
          <w:t>gr</w:t>
        </w:r>
      </w:hyperlink>
    </w:p>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after="120" w:line="240" w:lineRule="auto"/>
        <w:jc w:val="center"/>
        <w:rPr>
          <w:lang w:val="el-GR"/>
        </w:rPr>
      </w:pPr>
      <w:r>
        <w:rPr>
          <w:lang w:val="el-GR"/>
        </w:rPr>
        <w:t>ΑΡ.Μ.Α.Ε. 23927/01/</w:t>
      </w:r>
      <w:r>
        <w:t>B</w:t>
      </w:r>
      <w:r>
        <w:rPr>
          <w:lang w:val="el-GR"/>
        </w:rPr>
        <w:t>/91/185</w:t>
      </w:r>
    </w:p>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rPr>
          <w:szCs w:val="28"/>
          <w:highlight w:val="yellow"/>
          <w:lang w:val="el-GR"/>
        </w:rPr>
      </w:pPr>
    </w:p>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rPr>
          <w:szCs w:val="28"/>
          <w:highlight w:val="yellow"/>
          <w:lang w:val="el-GR"/>
        </w:rPr>
        <w:sectPr w:rsidR="004B417C">
          <w:headerReference w:type="even" r:id="rId10"/>
          <w:headerReference w:type="default" r:id="rId11"/>
          <w:footerReference w:type="even" r:id="rId12"/>
          <w:footerReference w:type="default" r:id="rId13"/>
          <w:headerReference w:type="first" r:id="rId14"/>
          <w:footerReference w:type="first" r:id="rId15"/>
          <w:type w:val="oddPage"/>
          <w:pgSz w:w="11906" w:h="16838" w:code="9"/>
          <w:pgMar w:top="1134" w:right="1985" w:bottom="902" w:left="1985" w:header="482" w:footer="380" w:gutter="0"/>
          <w:pgNumType w:start="1"/>
          <w:cols w:space="720"/>
        </w:sectPr>
      </w:pPr>
    </w:p>
    <w:p w:rsidR="004B417C" w:rsidRDefault="004B417C">
      <w:pPr>
        <w:spacing w:line="360" w:lineRule="auto"/>
        <w:jc w:val="center"/>
        <w:rPr>
          <w:b/>
          <w:lang w:val="el-GR"/>
        </w:rPr>
      </w:pPr>
    </w:p>
    <w:tbl>
      <w:tblPr>
        <w:tblW w:w="5000" w:type="pct"/>
        <w:tblLook w:val="01E0"/>
      </w:tblPr>
      <w:tblGrid>
        <w:gridCol w:w="7105"/>
        <w:gridCol w:w="1047"/>
      </w:tblGrid>
      <w:tr w:rsidR="004B417C">
        <w:tc>
          <w:tcPr>
            <w:tcW w:w="4366" w:type="pct"/>
            <w:vAlign w:val="center"/>
          </w:tcPr>
          <w:p w:rsidR="004B417C" w:rsidRDefault="004B417C">
            <w:pPr>
              <w:spacing w:before="120" w:line="360" w:lineRule="auto"/>
              <w:rPr>
                <w:b/>
                <w:lang w:val="el-GR"/>
              </w:rPr>
            </w:pPr>
            <w:r>
              <w:rPr>
                <w:b/>
                <w:lang w:val="el-GR"/>
              </w:rPr>
              <w:t>ΠΕΡΙΕΧΟΜΕΝΑ</w:t>
            </w:r>
          </w:p>
        </w:tc>
        <w:tc>
          <w:tcPr>
            <w:tcW w:w="634" w:type="pct"/>
            <w:vAlign w:val="center"/>
          </w:tcPr>
          <w:p w:rsidR="004B417C" w:rsidRDefault="004B417C">
            <w:pPr>
              <w:spacing w:before="120" w:line="360" w:lineRule="auto"/>
              <w:jc w:val="center"/>
              <w:rPr>
                <w:b/>
                <w:lang w:val="el-GR"/>
              </w:rPr>
            </w:pPr>
            <w:r>
              <w:rPr>
                <w:b/>
                <w:lang w:val="el-GR"/>
              </w:rPr>
              <w:t>ΣΕΛΙΔΑ</w:t>
            </w:r>
          </w:p>
        </w:tc>
      </w:tr>
      <w:tr w:rsidR="004B417C">
        <w:tc>
          <w:tcPr>
            <w:tcW w:w="4366" w:type="pct"/>
            <w:vAlign w:val="center"/>
          </w:tcPr>
          <w:p w:rsidR="004B417C" w:rsidRDefault="004B417C">
            <w:pPr>
              <w:spacing w:before="120" w:line="360" w:lineRule="auto"/>
              <w:rPr>
                <w:lang w:val="el-GR"/>
              </w:rPr>
            </w:pPr>
          </w:p>
        </w:tc>
        <w:tc>
          <w:tcPr>
            <w:tcW w:w="634" w:type="pct"/>
            <w:vAlign w:val="center"/>
          </w:tcPr>
          <w:p w:rsidR="004B417C" w:rsidRDefault="004B417C">
            <w:pPr>
              <w:spacing w:line="360" w:lineRule="auto"/>
              <w:jc w:val="center"/>
              <w:rPr>
                <w:highlight w:val="magenta"/>
                <w:lang w:val="el-GR"/>
              </w:rPr>
            </w:pPr>
          </w:p>
        </w:tc>
      </w:tr>
      <w:tr w:rsidR="004B417C">
        <w:tc>
          <w:tcPr>
            <w:tcW w:w="4366" w:type="pct"/>
            <w:vAlign w:val="center"/>
          </w:tcPr>
          <w:p w:rsidR="004B417C" w:rsidRDefault="004B417C">
            <w:pPr>
              <w:spacing w:before="120" w:line="360" w:lineRule="auto"/>
              <w:rPr>
                <w:lang w:val="el-GR"/>
              </w:rPr>
            </w:pPr>
            <w:r>
              <w:rPr>
                <w:lang w:val="el-GR"/>
              </w:rPr>
              <w:t>Έκθεση Διοικητικού Συμβουλίου</w:t>
            </w:r>
          </w:p>
        </w:tc>
        <w:tc>
          <w:tcPr>
            <w:tcW w:w="634" w:type="pct"/>
            <w:vAlign w:val="center"/>
          </w:tcPr>
          <w:p w:rsidR="004B417C" w:rsidRDefault="004B417C">
            <w:pPr>
              <w:spacing w:line="360" w:lineRule="auto"/>
              <w:jc w:val="center"/>
              <w:rPr>
                <w:lang w:val="el-GR"/>
              </w:rPr>
            </w:pPr>
            <w:r>
              <w:rPr>
                <w:lang w:val="el-GR"/>
              </w:rPr>
              <w:t>-</w:t>
            </w:r>
          </w:p>
        </w:tc>
      </w:tr>
      <w:tr w:rsidR="004B417C">
        <w:tc>
          <w:tcPr>
            <w:tcW w:w="4366" w:type="pct"/>
            <w:vAlign w:val="center"/>
          </w:tcPr>
          <w:p w:rsidR="004B417C" w:rsidRDefault="004B417C">
            <w:pPr>
              <w:spacing w:before="120" w:line="360" w:lineRule="auto"/>
              <w:rPr>
                <w:lang w:val="el-GR"/>
              </w:rPr>
            </w:pPr>
          </w:p>
        </w:tc>
        <w:tc>
          <w:tcPr>
            <w:tcW w:w="634" w:type="pct"/>
            <w:vAlign w:val="center"/>
          </w:tcPr>
          <w:p w:rsidR="004B417C" w:rsidRDefault="004B417C">
            <w:pPr>
              <w:spacing w:line="360" w:lineRule="auto"/>
              <w:jc w:val="center"/>
              <w:rPr>
                <w:lang w:val="el-GR"/>
              </w:rPr>
            </w:pPr>
          </w:p>
        </w:tc>
      </w:tr>
      <w:tr w:rsidR="004B417C">
        <w:tc>
          <w:tcPr>
            <w:tcW w:w="4366" w:type="pct"/>
            <w:vAlign w:val="center"/>
          </w:tcPr>
          <w:p w:rsidR="004B417C" w:rsidRDefault="004B417C" w:rsidP="00867A2D">
            <w:pPr>
              <w:spacing w:before="120" w:line="360" w:lineRule="auto"/>
              <w:rPr>
                <w:lang w:val="el-GR"/>
              </w:rPr>
            </w:pPr>
            <w:r>
              <w:rPr>
                <w:lang w:val="el-GR"/>
              </w:rPr>
              <w:t xml:space="preserve">Έκθεση Ελέγχου Ανεξάρτητου Ορκωτού Ελεγκτή </w:t>
            </w:r>
          </w:p>
        </w:tc>
        <w:tc>
          <w:tcPr>
            <w:tcW w:w="634" w:type="pct"/>
            <w:vAlign w:val="center"/>
          </w:tcPr>
          <w:p w:rsidR="004B417C" w:rsidRDefault="004B417C">
            <w:pPr>
              <w:spacing w:line="360" w:lineRule="auto"/>
              <w:jc w:val="center"/>
              <w:rPr>
                <w:lang w:val="el-GR"/>
              </w:rPr>
            </w:pPr>
            <w:r>
              <w:rPr>
                <w:lang w:val="el-GR"/>
              </w:rPr>
              <w:t>-</w:t>
            </w:r>
          </w:p>
        </w:tc>
      </w:tr>
      <w:tr w:rsidR="004B417C">
        <w:tc>
          <w:tcPr>
            <w:tcW w:w="4366" w:type="pct"/>
            <w:vAlign w:val="center"/>
          </w:tcPr>
          <w:p w:rsidR="004B417C" w:rsidRDefault="004B417C">
            <w:pPr>
              <w:spacing w:before="120" w:line="360" w:lineRule="auto"/>
              <w:rPr>
                <w:lang w:val="el-GR"/>
              </w:rPr>
            </w:pPr>
          </w:p>
        </w:tc>
        <w:tc>
          <w:tcPr>
            <w:tcW w:w="634" w:type="pct"/>
            <w:vAlign w:val="center"/>
          </w:tcPr>
          <w:p w:rsidR="004B417C" w:rsidRDefault="004B417C">
            <w:pPr>
              <w:spacing w:line="360" w:lineRule="auto"/>
              <w:jc w:val="center"/>
              <w:rPr>
                <w:lang w:val="el-GR"/>
              </w:rPr>
            </w:pPr>
          </w:p>
        </w:tc>
      </w:tr>
      <w:tr w:rsidR="004B417C">
        <w:tc>
          <w:tcPr>
            <w:tcW w:w="4366" w:type="pct"/>
            <w:vAlign w:val="center"/>
          </w:tcPr>
          <w:p w:rsidR="004B417C" w:rsidRDefault="004B417C">
            <w:pPr>
              <w:spacing w:before="120" w:line="360" w:lineRule="auto"/>
              <w:rPr>
                <w:lang w:val="el-GR"/>
              </w:rPr>
            </w:pPr>
            <w:r>
              <w:rPr>
                <w:lang w:val="el-GR"/>
              </w:rPr>
              <w:t xml:space="preserve">Κατάσταση Συνολικών Εσόδων </w:t>
            </w:r>
          </w:p>
        </w:tc>
        <w:tc>
          <w:tcPr>
            <w:tcW w:w="634" w:type="pct"/>
            <w:vAlign w:val="center"/>
          </w:tcPr>
          <w:p w:rsidR="004B417C" w:rsidRDefault="004B417C">
            <w:pPr>
              <w:spacing w:line="360" w:lineRule="auto"/>
              <w:jc w:val="center"/>
              <w:rPr>
                <w:lang w:val="el-GR"/>
              </w:rPr>
            </w:pPr>
            <w:r>
              <w:rPr>
                <w:lang w:val="el-GR"/>
              </w:rPr>
              <w:t>1</w:t>
            </w:r>
          </w:p>
        </w:tc>
      </w:tr>
      <w:tr w:rsidR="004B417C">
        <w:tc>
          <w:tcPr>
            <w:tcW w:w="4366" w:type="pct"/>
            <w:vAlign w:val="center"/>
          </w:tcPr>
          <w:p w:rsidR="004B417C" w:rsidRDefault="004B417C">
            <w:pPr>
              <w:spacing w:line="360" w:lineRule="auto"/>
              <w:rPr>
                <w:b/>
                <w:lang w:val="el-GR"/>
              </w:rPr>
            </w:pPr>
          </w:p>
        </w:tc>
        <w:tc>
          <w:tcPr>
            <w:tcW w:w="634" w:type="pct"/>
            <w:vAlign w:val="center"/>
          </w:tcPr>
          <w:p w:rsidR="004B417C" w:rsidRDefault="004B417C">
            <w:pPr>
              <w:spacing w:line="360" w:lineRule="auto"/>
              <w:jc w:val="center"/>
              <w:rPr>
                <w:lang w:val="el-GR"/>
              </w:rPr>
            </w:pPr>
          </w:p>
        </w:tc>
      </w:tr>
      <w:tr w:rsidR="004B417C">
        <w:tc>
          <w:tcPr>
            <w:tcW w:w="4366" w:type="pct"/>
            <w:vAlign w:val="center"/>
          </w:tcPr>
          <w:p w:rsidR="004B417C" w:rsidRPr="002F35FA" w:rsidRDefault="004B417C" w:rsidP="001B2018">
            <w:pPr>
              <w:spacing w:before="120" w:line="360" w:lineRule="auto"/>
              <w:rPr>
                <w:lang w:val="el-GR"/>
              </w:rPr>
            </w:pPr>
            <w:r>
              <w:rPr>
                <w:lang w:val="el-GR"/>
              </w:rPr>
              <w:t>Κατάσταση Οικονομικής Θέσης</w:t>
            </w:r>
          </w:p>
        </w:tc>
        <w:tc>
          <w:tcPr>
            <w:tcW w:w="634" w:type="pct"/>
            <w:vAlign w:val="center"/>
          </w:tcPr>
          <w:p w:rsidR="004B417C" w:rsidRDefault="004B417C">
            <w:pPr>
              <w:spacing w:line="360" w:lineRule="auto"/>
              <w:jc w:val="center"/>
              <w:rPr>
                <w:lang w:val="el-GR"/>
              </w:rPr>
            </w:pPr>
            <w:r>
              <w:rPr>
                <w:lang w:val="el-GR"/>
              </w:rPr>
              <w:t>2</w:t>
            </w:r>
          </w:p>
        </w:tc>
      </w:tr>
      <w:tr w:rsidR="004B417C">
        <w:tc>
          <w:tcPr>
            <w:tcW w:w="4366" w:type="pct"/>
            <w:vAlign w:val="center"/>
          </w:tcPr>
          <w:p w:rsidR="004B417C" w:rsidRDefault="004B417C">
            <w:pPr>
              <w:spacing w:line="360" w:lineRule="auto"/>
              <w:rPr>
                <w:b/>
                <w:lang w:val="el-GR"/>
              </w:rPr>
            </w:pPr>
          </w:p>
        </w:tc>
        <w:tc>
          <w:tcPr>
            <w:tcW w:w="634" w:type="pct"/>
            <w:vAlign w:val="center"/>
          </w:tcPr>
          <w:p w:rsidR="004B417C" w:rsidRDefault="004B417C">
            <w:pPr>
              <w:spacing w:line="360" w:lineRule="auto"/>
              <w:jc w:val="center"/>
              <w:rPr>
                <w:lang w:val="el-GR"/>
              </w:rPr>
            </w:pPr>
          </w:p>
        </w:tc>
      </w:tr>
      <w:tr w:rsidR="004B417C">
        <w:tc>
          <w:tcPr>
            <w:tcW w:w="4366" w:type="pct"/>
            <w:vAlign w:val="center"/>
          </w:tcPr>
          <w:p w:rsidR="004B417C" w:rsidRDefault="004B417C">
            <w:pPr>
              <w:spacing w:before="120" w:line="360" w:lineRule="auto"/>
              <w:rPr>
                <w:lang w:val="el-GR"/>
              </w:rPr>
            </w:pPr>
            <w:r>
              <w:rPr>
                <w:lang w:val="el-GR"/>
              </w:rPr>
              <w:t>Κατάσταση μεταβολών ιδίων κεφαλαίων</w:t>
            </w:r>
          </w:p>
        </w:tc>
        <w:tc>
          <w:tcPr>
            <w:tcW w:w="634" w:type="pct"/>
            <w:vAlign w:val="center"/>
          </w:tcPr>
          <w:p w:rsidR="004B417C" w:rsidRDefault="004B417C">
            <w:pPr>
              <w:spacing w:line="360" w:lineRule="auto"/>
              <w:jc w:val="center"/>
              <w:rPr>
                <w:lang w:val="el-GR"/>
              </w:rPr>
            </w:pPr>
            <w:r>
              <w:rPr>
                <w:lang w:val="el-GR"/>
              </w:rPr>
              <w:t>3</w:t>
            </w:r>
          </w:p>
        </w:tc>
      </w:tr>
      <w:tr w:rsidR="004B417C">
        <w:tc>
          <w:tcPr>
            <w:tcW w:w="4366" w:type="pct"/>
            <w:vAlign w:val="center"/>
          </w:tcPr>
          <w:p w:rsidR="004B417C" w:rsidRDefault="004B417C">
            <w:pPr>
              <w:spacing w:line="360" w:lineRule="auto"/>
              <w:rPr>
                <w:b/>
                <w:lang w:val="el-GR"/>
              </w:rPr>
            </w:pPr>
          </w:p>
        </w:tc>
        <w:tc>
          <w:tcPr>
            <w:tcW w:w="634" w:type="pct"/>
            <w:vAlign w:val="center"/>
          </w:tcPr>
          <w:p w:rsidR="004B417C" w:rsidRDefault="004B417C">
            <w:pPr>
              <w:spacing w:line="360" w:lineRule="auto"/>
              <w:jc w:val="center"/>
              <w:rPr>
                <w:lang w:val="el-GR"/>
              </w:rPr>
            </w:pPr>
          </w:p>
        </w:tc>
      </w:tr>
      <w:tr w:rsidR="004B417C">
        <w:tc>
          <w:tcPr>
            <w:tcW w:w="4366" w:type="pct"/>
            <w:vAlign w:val="center"/>
          </w:tcPr>
          <w:p w:rsidR="004B417C" w:rsidRDefault="004B417C">
            <w:pPr>
              <w:spacing w:before="120" w:line="360" w:lineRule="auto"/>
              <w:rPr>
                <w:lang w:val="el-GR"/>
              </w:rPr>
            </w:pPr>
            <w:r>
              <w:rPr>
                <w:lang w:val="el-GR"/>
              </w:rPr>
              <w:t>Κατάσταση ταμειακών ροών</w:t>
            </w:r>
          </w:p>
        </w:tc>
        <w:tc>
          <w:tcPr>
            <w:tcW w:w="634" w:type="pct"/>
            <w:vAlign w:val="center"/>
          </w:tcPr>
          <w:p w:rsidR="004B417C" w:rsidRDefault="004B417C">
            <w:pPr>
              <w:spacing w:line="360" w:lineRule="auto"/>
              <w:jc w:val="center"/>
              <w:rPr>
                <w:lang w:val="el-GR"/>
              </w:rPr>
            </w:pPr>
            <w:r>
              <w:rPr>
                <w:lang w:val="el-GR"/>
              </w:rPr>
              <w:t>4</w:t>
            </w:r>
          </w:p>
        </w:tc>
      </w:tr>
      <w:tr w:rsidR="004B417C">
        <w:tc>
          <w:tcPr>
            <w:tcW w:w="4366" w:type="pct"/>
            <w:vAlign w:val="center"/>
          </w:tcPr>
          <w:p w:rsidR="004B417C" w:rsidRDefault="004B417C">
            <w:pPr>
              <w:spacing w:line="360" w:lineRule="auto"/>
              <w:rPr>
                <w:b/>
                <w:lang w:val="el-GR"/>
              </w:rPr>
            </w:pPr>
          </w:p>
        </w:tc>
        <w:tc>
          <w:tcPr>
            <w:tcW w:w="634" w:type="pct"/>
            <w:vAlign w:val="center"/>
          </w:tcPr>
          <w:p w:rsidR="004B417C" w:rsidRDefault="004B417C">
            <w:pPr>
              <w:spacing w:line="360" w:lineRule="auto"/>
              <w:jc w:val="center"/>
              <w:rPr>
                <w:lang w:val="el-GR"/>
              </w:rPr>
            </w:pPr>
          </w:p>
        </w:tc>
      </w:tr>
      <w:tr w:rsidR="004B417C">
        <w:tc>
          <w:tcPr>
            <w:tcW w:w="4366" w:type="pct"/>
            <w:vAlign w:val="center"/>
          </w:tcPr>
          <w:p w:rsidR="004B417C" w:rsidRDefault="004B417C">
            <w:pPr>
              <w:spacing w:before="120" w:line="360" w:lineRule="auto"/>
              <w:rPr>
                <w:lang w:val="el-GR"/>
              </w:rPr>
            </w:pPr>
            <w:r>
              <w:rPr>
                <w:lang w:val="el-GR"/>
              </w:rPr>
              <w:t>Σημειώσεις επί των οικονομικών καταστάσεων</w:t>
            </w:r>
          </w:p>
        </w:tc>
        <w:tc>
          <w:tcPr>
            <w:tcW w:w="634" w:type="pct"/>
            <w:vAlign w:val="center"/>
          </w:tcPr>
          <w:p w:rsidR="004B417C" w:rsidRPr="00670664" w:rsidRDefault="004B417C">
            <w:pPr>
              <w:spacing w:line="360" w:lineRule="auto"/>
              <w:jc w:val="center"/>
              <w:rPr>
                <w:lang w:val="el-GR"/>
              </w:rPr>
            </w:pPr>
            <w:r w:rsidRPr="00851FEB">
              <w:rPr>
                <w:lang w:val="el-GR"/>
              </w:rPr>
              <w:t>5-</w:t>
            </w:r>
            <w:r>
              <w:t>3</w:t>
            </w:r>
            <w:r>
              <w:rPr>
                <w:lang w:val="el-GR"/>
              </w:rPr>
              <w:t>0</w:t>
            </w:r>
          </w:p>
        </w:tc>
      </w:tr>
      <w:tr w:rsidR="004B417C">
        <w:tc>
          <w:tcPr>
            <w:tcW w:w="4366" w:type="pct"/>
            <w:vAlign w:val="center"/>
          </w:tcPr>
          <w:p w:rsidR="004B417C" w:rsidRDefault="004B417C">
            <w:pPr>
              <w:spacing w:line="360" w:lineRule="auto"/>
              <w:rPr>
                <w:b/>
                <w:lang w:val="el-GR"/>
              </w:rPr>
            </w:pPr>
          </w:p>
        </w:tc>
        <w:tc>
          <w:tcPr>
            <w:tcW w:w="634" w:type="pct"/>
            <w:vAlign w:val="center"/>
          </w:tcPr>
          <w:p w:rsidR="004B417C" w:rsidRDefault="004B417C">
            <w:pPr>
              <w:spacing w:line="360" w:lineRule="auto"/>
              <w:jc w:val="center"/>
              <w:rPr>
                <w:lang w:val="el-GR"/>
              </w:rPr>
            </w:pPr>
          </w:p>
        </w:tc>
      </w:tr>
      <w:tr w:rsidR="004B417C">
        <w:tc>
          <w:tcPr>
            <w:tcW w:w="4366" w:type="pct"/>
            <w:vAlign w:val="center"/>
          </w:tcPr>
          <w:p w:rsidR="004B417C" w:rsidRDefault="004B417C">
            <w:pPr>
              <w:spacing w:line="360" w:lineRule="auto"/>
              <w:rPr>
                <w:b/>
                <w:lang w:val="el-GR"/>
              </w:rPr>
            </w:pPr>
          </w:p>
        </w:tc>
        <w:tc>
          <w:tcPr>
            <w:tcW w:w="634" w:type="pct"/>
            <w:vAlign w:val="center"/>
          </w:tcPr>
          <w:p w:rsidR="004B417C" w:rsidRDefault="004B417C">
            <w:pPr>
              <w:spacing w:line="360" w:lineRule="auto"/>
              <w:jc w:val="center"/>
              <w:rPr>
                <w:lang w:val="el-GR"/>
              </w:rPr>
            </w:pPr>
          </w:p>
        </w:tc>
      </w:tr>
      <w:tr w:rsidR="004B417C" w:rsidRPr="006423DF">
        <w:tc>
          <w:tcPr>
            <w:tcW w:w="4366" w:type="pct"/>
            <w:vAlign w:val="center"/>
          </w:tcPr>
          <w:p w:rsidR="004B417C" w:rsidRDefault="004B417C">
            <w:pPr>
              <w:spacing w:line="360" w:lineRule="auto"/>
              <w:rPr>
                <w:b/>
                <w:lang w:val="el-GR"/>
              </w:rPr>
            </w:pPr>
          </w:p>
        </w:tc>
        <w:tc>
          <w:tcPr>
            <w:tcW w:w="634" w:type="pct"/>
            <w:vAlign w:val="center"/>
          </w:tcPr>
          <w:p w:rsidR="004B417C" w:rsidRPr="006423DF" w:rsidRDefault="004B417C">
            <w:pPr>
              <w:spacing w:line="360" w:lineRule="auto"/>
              <w:jc w:val="center"/>
              <w:rPr>
                <w:lang w:val="el-GR"/>
              </w:rPr>
            </w:pPr>
          </w:p>
        </w:tc>
      </w:tr>
    </w:tbl>
    <w:p w:rsidR="004B417C" w:rsidRPr="006423DF" w:rsidRDefault="004B417C">
      <w:pPr>
        <w:spacing w:line="360" w:lineRule="auto"/>
        <w:jc w:val="center"/>
        <w:rPr>
          <w:b/>
          <w:lang w:val="el-GR"/>
        </w:rPr>
      </w:pPr>
    </w:p>
    <w:p w:rsidR="004B417C" w:rsidRPr="006423DF" w:rsidRDefault="004B417C">
      <w:pPr>
        <w:spacing w:line="360" w:lineRule="auto"/>
        <w:jc w:val="center"/>
        <w:rPr>
          <w:b/>
          <w:lang w:val="el-GR"/>
        </w:rPr>
      </w:pPr>
    </w:p>
    <w:p w:rsidR="004B417C" w:rsidRPr="006423DF" w:rsidRDefault="004B417C">
      <w:pPr>
        <w:spacing w:line="360" w:lineRule="auto"/>
        <w:jc w:val="center"/>
        <w:rPr>
          <w:b/>
          <w:lang w:val="el-GR"/>
        </w:rPr>
      </w:pPr>
    </w:p>
    <w:p w:rsidR="004B417C" w:rsidRPr="006423DF" w:rsidRDefault="004B417C">
      <w:pPr>
        <w:spacing w:line="360" w:lineRule="auto"/>
        <w:jc w:val="center"/>
        <w:rPr>
          <w:b/>
          <w:lang w:val="el-GR"/>
        </w:rPr>
      </w:pPr>
    </w:p>
    <w:p w:rsidR="004B417C" w:rsidRPr="006423DF" w:rsidRDefault="004B417C">
      <w:pPr>
        <w:spacing w:line="360" w:lineRule="auto"/>
        <w:jc w:val="center"/>
        <w:rPr>
          <w:b/>
          <w:lang w:val="el-GR"/>
        </w:rPr>
      </w:pPr>
    </w:p>
    <w:p w:rsidR="004B417C" w:rsidRPr="006423DF" w:rsidRDefault="004B417C">
      <w:pPr>
        <w:spacing w:line="360" w:lineRule="auto"/>
        <w:jc w:val="center"/>
        <w:rPr>
          <w:b/>
          <w:lang w:val="el-GR"/>
        </w:rPr>
      </w:pPr>
    </w:p>
    <w:p w:rsidR="004B417C" w:rsidRPr="006423DF" w:rsidRDefault="004B417C">
      <w:pPr>
        <w:spacing w:line="360" w:lineRule="auto"/>
        <w:jc w:val="center"/>
        <w:rPr>
          <w:b/>
          <w:lang w:val="el-GR"/>
        </w:rPr>
      </w:pPr>
    </w:p>
    <w:p w:rsidR="004B417C" w:rsidRPr="006423DF" w:rsidRDefault="004B417C">
      <w:pPr>
        <w:spacing w:line="360" w:lineRule="auto"/>
        <w:jc w:val="center"/>
        <w:rPr>
          <w:b/>
          <w:lang w:val="el-GR"/>
        </w:rPr>
      </w:pPr>
    </w:p>
    <w:p w:rsidR="004B417C" w:rsidRPr="006423DF" w:rsidRDefault="004B417C">
      <w:pPr>
        <w:spacing w:line="360" w:lineRule="auto"/>
        <w:jc w:val="center"/>
        <w:rPr>
          <w:b/>
          <w:lang w:val="el-GR"/>
        </w:rPr>
      </w:pPr>
    </w:p>
    <w:p w:rsidR="004B417C" w:rsidRPr="006423DF" w:rsidRDefault="004B417C">
      <w:pPr>
        <w:spacing w:line="360" w:lineRule="auto"/>
        <w:jc w:val="center"/>
        <w:rPr>
          <w:b/>
          <w:lang w:val="el-GR"/>
        </w:rPr>
      </w:pPr>
    </w:p>
    <w:p w:rsidR="004B417C" w:rsidRPr="006423DF" w:rsidRDefault="004B417C">
      <w:pPr>
        <w:spacing w:line="360" w:lineRule="auto"/>
        <w:jc w:val="center"/>
        <w:rPr>
          <w:b/>
          <w:lang w:val="el-GR"/>
        </w:rPr>
      </w:pPr>
    </w:p>
    <w:p w:rsidR="004B417C" w:rsidRPr="006423DF" w:rsidRDefault="004B417C">
      <w:pPr>
        <w:spacing w:line="360" w:lineRule="auto"/>
        <w:rPr>
          <w:b/>
          <w:lang w:val="el-GR"/>
        </w:rPr>
        <w:sectPr w:rsidR="004B417C" w:rsidRPr="006423DF">
          <w:headerReference w:type="default" r:id="rId16"/>
          <w:pgSz w:w="11906" w:h="16838" w:code="9"/>
          <w:pgMar w:top="1134" w:right="1985" w:bottom="902" w:left="1985" w:header="482" w:footer="380" w:gutter="0"/>
          <w:pgNumType w:start="1"/>
          <w:cols w:space="720"/>
        </w:sectPr>
      </w:pPr>
    </w:p>
    <w:p w:rsidR="00C63334" w:rsidRPr="0000418E" w:rsidRDefault="00C63334" w:rsidP="00C63334">
      <w:pPr>
        <w:suppressAutoHyphens/>
        <w:jc w:val="both"/>
        <w:rPr>
          <w:b/>
          <w:sz w:val="24"/>
          <w:szCs w:val="24"/>
          <w:lang w:val="el-GR"/>
        </w:rPr>
      </w:pPr>
      <w:r w:rsidRPr="0000418E">
        <w:rPr>
          <w:b/>
          <w:sz w:val="24"/>
          <w:szCs w:val="24"/>
          <w:lang w:val="el-GR"/>
        </w:rPr>
        <w:lastRenderedPageBreak/>
        <w:t>ΕΚΘΕΣΗ ΔΙΟΙΚΗΤΙΚΟΥ ΣΥΜΒΟΥΛΙΟΥ</w:t>
      </w:r>
    </w:p>
    <w:p w:rsidR="00C63334" w:rsidRPr="00025BB4" w:rsidRDefault="00C63334" w:rsidP="00C63334">
      <w:pPr>
        <w:pStyle w:val="BodyText2"/>
        <w:spacing w:line="240" w:lineRule="auto"/>
        <w:rPr>
          <w:sz w:val="22"/>
          <w:szCs w:val="22"/>
          <w:lang w:val="el-GR"/>
        </w:rPr>
      </w:pPr>
    </w:p>
    <w:p w:rsidR="00C63334" w:rsidRPr="00025BB4" w:rsidRDefault="00C63334" w:rsidP="00C63334">
      <w:pPr>
        <w:pStyle w:val="BodyText2"/>
        <w:spacing w:line="240" w:lineRule="auto"/>
        <w:rPr>
          <w:sz w:val="22"/>
          <w:szCs w:val="22"/>
          <w:lang w:val="el-GR"/>
        </w:rPr>
      </w:pPr>
    </w:p>
    <w:p w:rsidR="00C63334" w:rsidRPr="0000418E" w:rsidRDefault="00C63334" w:rsidP="00C63334">
      <w:pPr>
        <w:suppressAutoHyphens/>
        <w:jc w:val="both"/>
        <w:rPr>
          <w:sz w:val="24"/>
          <w:szCs w:val="24"/>
          <w:lang w:val="el-GR"/>
        </w:rPr>
      </w:pPr>
      <w:r w:rsidRPr="0000418E">
        <w:rPr>
          <w:sz w:val="24"/>
          <w:szCs w:val="24"/>
          <w:lang w:val="el-GR"/>
        </w:rPr>
        <w:t>Κύριοι Μέτοχοι,</w:t>
      </w:r>
    </w:p>
    <w:p w:rsidR="00C63334" w:rsidRPr="0000418E" w:rsidRDefault="00C63334" w:rsidP="00C63334">
      <w:pPr>
        <w:suppressAutoHyphens/>
        <w:jc w:val="both"/>
        <w:rPr>
          <w:szCs w:val="22"/>
          <w:lang w:val="el-GR"/>
        </w:rPr>
      </w:pPr>
    </w:p>
    <w:p w:rsidR="00C63334" w:rsidRPr="0000418E" w:rsidRDefault="00C63334" w:rsidP="00C63334">
      <w:pPr>
        <w:pStyle w:val="Heading2"/>
        <w:jc w:val="both"/>
        <w:rPr>
          <w:rFonts w:eastAsia="Arial Unicode MS"/>
          <w:szCs w:val="22"/>
          <w:lang w:val="el-GR"/>
        </w:rPr>
      </w:pPr>
      <w:r w:rsidRPr="0000418E">
        <w:rPr>
          <w:szCs w:val="22"/>
          <w:lang w:val="el-GR"/>
        </w:rPr>
        <w:t>Σύμφωνα με το Νόμο και το καταστατικό της εταιρίας, σας υποβάλλουμε για έγκριση τις οικονομικές καταστάσεις της χρήσεως που έληξε την 31</w:t>
      </w:r>
      <w:r w:rsidRPr="0000418E">
        <w:rPr>
          <w:szCs w:val="22"/>
          <w:vertAlign w:val="superscript"/>
          <w:lang w:val="el-GR"/>
        </w:rPr>
        <w:t>η</w:t>
      </w:r>
      <w:r w:rsidRPr="0000418E">
        <w:rPr>
          <w:szCs w:val="22"/>
          <w:lang w:val="el-GR"/>
        </w:rPr>
        <w:t xml:space="preserve"> Δεκεμβρίου 2012.</w:t>
      </w:r>
    </w:p>
    <w:p w:rsidR="00C63334" w:rsidRPr="0000418E" w:rsidRDefault="00C63334" w:rsidP="00C63334">
      <w:pPr>
        <w:pStyle w:val="BodyText"/>
        <w:jc w:val="both"/>
        <w:rPr>
          <w:szCs w:val="22"/>
          <w:lang w:val="el-GR"/>
        </w:rPr>
      </w:pPr>
    </w:p>
    <w:p w:rsidR="00C63334" w:rsidRPr="0000418E" w:rsidRDefault="00C63334" w:rsidP="00C63334">
      <w:pPr>
        <w:pStyle w:val="BodyText"/>
        <w:jc w:val="both"/>
        <w:rPr>
          <w:szCs w:val="22"/>
          <w:lang w:val="el-GR"/>
        </w:rPr>
      </w:pPr>
      <w:r w:rsidRPr="0000418E">
        <w:rPr>
          <w:szCs w:val="22"/>
          <w:lang w:val="el-GR"/>
        </w:rPr>
        <w:t>Οι οικονομικές καταστάσεις της Εταιρείας καταρτίσθηκαν με βάση τα Διεθνή Πρότυπα Χρηματοοικονομικής Αναφοράς («ΔΠΧΑ») (</w:t>
      </w:r>
      <w:r w:rsidRPr="0000418E">
        <w:rPr>
          <w:szCs w:val="22"/>
        </w:rPr>
        <w:t>International</w:t>
      </w:r>
      <w:r w:rsidRPr="0000418E">
        <w:rPr>
          <w:szCs w:val="22"/>
          <w:lang w:val="el-GR"/>
        </w:rPr>
        <w:t xml:space="preserve"> </w:t>
      </w:r>
      <w:r w:rsidRPr="0000418E">
        <w:rPr>
          <w:szCs w:val="22"/>
        </w:rPr>
        <w:t>Financial</w:t>
      </w:r>
      <w:r w:rsidRPr="0000418E">
        <w:rPr>
          <w:szCs w:val="22"/>
          <w:lang w:val="el-GR"/>
        </w:rPr>
        <w:t xml:space="preserve"> </w:t>
      </w:r>
      <w:r w:rsidRPr="0000418E">
        <w:rPr>
          <w:szCs w:val="22"/>
        </w:rPr>
        <w:t>Reporting</w:t>
      </w:r>
      <w:r w:rsidRPr="0000418E">
        <w:rPr>
          <w:szCs w:val="22"/>
          <w:lang w:val="el-GR"/>
        </w:rPr>
        <w:t xml:space="preserve"> </w:t>
      </w:r>
      <w:r w:rsidRPr="0000418E">
        <w:rPr>
          <w:szCs w:val="22"/>
        </w:rPr>
        <w:t>Standards</w:t>
      </w:r>
      <w:r w:rsidRPr="0000418E">
        <w:rPr>
          <w:szCs w:val="22"/>
          <w:lang w:val="el-GR"/>
        </w:rPr>
        <w:t xml:space="preserve"> - </w:t>
      </w:r>
      <w:r w:rsidRPr="0000418E">
        <w:rPr>
          <w:szCs w:val="22"/>
        </w:rPr>
        <w:t>IFRS</w:t>
      </w:r>
      <w:r w:rsidRPr="0000418E">
        <w:rPr>
          <w:szCs w:val="22"/>
          <w:lang w:val="el-GR"/>
        </w:rPr>
        <w:t xml:space="preserve">), που έχουν υιοθετηθεί από την Ευρωπαϊκή Ένωση. </w:t>
      </w:r>
    </w:p>
    <w:p w:rsidR="00C63334" w:rsidRPr="0000418E" w:rsidRDefault="00C63334" w:rsidP="00C63334">
      <w:pPr>
        <w:pStyle w:val="BodyText"/>
        <w:rPr>
          <w:szCs w:val="22"/>
          <w:lang w:val="el-GR"/>
        </w:rPr>
      </w:pPr>
    </w:p>
    <w:p w:rsidR="00C63334" w:rsidRPr="0000418E" w:rsidRDefault="00C63334" w:rsidP="00C63334">
      <w:pPr>
        <w:pStyle w:val="BodyText"/>
        <w:rPr>
          <w:b/>
          <w:bCs/>
          <w:sz w:val="24"/>
          <w:szCs w:val="24"/>
          <w:u w:val="single"/>
          <w:lang w:val="el-GR"/>
        </w:rPr>
      </w:pPr>
      <w:r w:rsidRPr="0000418E">
        <w:rPr>
          <w:b/>
          <w:bCs/>
          <w:sz w:val="24"/>
          <w:szCs w:val="24"/>
          <w:u w:val="single"/>
          <w:lang w:val="el-GR"/>
        </w:rPr>
        <w:t>Ι.</w:t>
      </w:r>
      <w:r w:rsidRPr="0000418E">
        <w:rPr>
          <w:sz w:val="24"/>
          <w:szCs w:val="24"/>
          <w:u w:val="single"/>
          <w:lang w:val="el-GR"/>
        </w:rPr>
        <w:t xml:space="preserve">  </w:t>
      </w:r>
      <w:r w:rsidRPr="0000418E">
        <w:rPr>
          <w:b/>
          <w:bCs/>
          <w:sz w:val="24"/>
          <w:szCs w:val="24"/>
          <w:u w:val="single"/>
          <w:lang w:val="el-GR"/>
        </w:rPr>
        <w:t xml:space="preserve">ΑΝΑΣΚΟΠΗΣΗ ΑΓΟΡΑΣ </w:t>
      </w:r>
    </w:p>
    <w:p w:rsidR="00C63334" w:rsidRPr="0000418E" w:rsidRDefault="00C63334" w:rsidP="00C63334">
      <w:pPr>
        <w:jc w:val="both"/>
        <w:rPr>
          <w:b/>
          <w:szCs w:val="22"/>
          <w:lang w:val="el-GR"/>
        </w:rPr>
      </w:pPr>
    </w:p>
    <w:p w:rsidR="00C63334" w:rsidRPr="0000418E" w:rsidRDefault="00C63334" w:rsidP="00C63334">
      <w:pPr>
        <w:pStyle w:val="BodyText2"/>
        <w:spacing w:line="240" w:lineRule="auto"/>
        <w:jc w:val="both"/>
        <w:rPr>
          <w:sz w:val="22"/>
          <w:szCs w:val="22"/>
          <w:lang w:val="el-GR"/>
        </w:rPr>
      </w:pPr>
      <w:r w:rsidRPr="0000418E">
        <w:rPr>
          <w:sz w:val="22"/>
          <w:szCs w:val="22"/>
          <w:lang w:val="el-GR"/>
        </w:rPr>
        <w:t>Στον κλάδο των χρηματοδοτικών μισθώσεων το βασικό μερίδιο της αγοράς το κατέχουν πέντε (5)  εταιρ</w:t>
      </w:r>
      <w:r>
        <w:rPr>
          <w:sz w:val="22"/>
          <w:szCs w:val="22"/>
          <w:lang w:val="el-GR"/>
        </w:rPr>
        <w:t>ε</w:t>
      </w:r>
      <w:r w:rsidRPr="0000418E">
        <w:rPr>
          <w:sz w:val="22"/>
          <w:szCs w:val="22"/>
          <w:lang w:val="el-GR"/>
        </w:rPr>
        <w:t xml:space="preserve">ίες οι οποίες  με στοιχεία για τη χρήση του 2012 κατέκτησαν περίπου το 73,9% του μεριδίου αγοράς των εταιριών </w:t>
      </w:r>
      <w:r w:rsidRPr="0000418E">
        <w:rPr>
          <w:sz w:val="22"/>
          <w:szCs w:val="22"/>
        </w:rPr>
        <w:t>leasing</w:t>
      </w:r>
      <w:r w:rsidRPr="0000418E">
        <w:rPr>
          <w:sz w:val="22"/>
          <w:szCs w:val="22"/>
          <w:lang w:val="el-GR"/>
        </w:rPr>
        <w:t xml:space="preserve"> (με βάση την αξία του υπολειπομένου προς τιμολόγηση κεφαλαίου την 31-12-2012) και συγκεκριμένα, </w:t>
      </w:r>
      <w:r w:rsidRPr="0000418E">
        <w:rPr>
          <w:sz w:val="22"/>
          <w:szCs w:val="22"/>
        </w:rPr>
        <w:t>EUROBANK</w:t>
      </w:r>
      <w:r w:rsidRPr="0000418E">
        <w:rPr>
          <w:sz w:val="22"/>
          <w:szCs w:val="22"/>
          <w:lang w:val="el-GR"/>
        </w:rPr>
        <w:t xml:space="preserve"> </w:t>
      </w:r>
      <w:r w:rsidRPr="0000418E">
        <w:rPr>
          <w:sz w:val="22"/>
          <w:szCs w:val="22"/>
        </w:rPr>
        <w:t>LEASING</w:t>
      </w:r>
      <w:r w:rsidRPr="0000418E">
        <w:rPr>
          <w:sz w:val="22"/>
          <w:szCs w:val="22"/>
          <w:lang w:val="el-GR"/>
        </w:rPr>
        <w:t xml:space="preserve"> 21,2%,  ΚΥΠΡΟΥ </w:t>
      </w:r>
      <w:r w:rsidRPr="0000418E">
        <w:rPr>
          <w:sz w:val="22"/>
          <w:szCs w:val="22"/>
        </w:rPr>
        <w:t>LEASING</w:t>
      </w:r>
      <w:r w:rsidRPr="0000418E">
        <w:rPr>
          <w:sz w:val="22"/>
          <w:szCs w:val="22"/>
          <w:lang w:val="el-GR"/>
        </w:rPr>
        <w:t xml:space="preserve"> 17,4%, ΠΕΙΡΑΙΩΣ </w:t>
      </w:r>
      <w:r w:rsidRPr="0000418E">
        <w:rPr>
          <w:sz w:val="22"/>
          <w:szCs w:val="22"/>
        </w:rPr>
        <w:t>LEASING</w:t>
      </w:r>
      <w:r w:rsidRPr="0000418E">
        <w:rPr>
          <w:sz w:val="22"/>
          <w:szCs w:val="22"/>
          <w:lang w:val="el-GR"/>
        </w:rPr>
        <w:t xml:space="preserve"> 13,7%,  </w:t>
      </w:r>
      <w:r w:rsidRPr="0000418E">
        <w:rPr>
          <w:sz w:val="22"/>
          <w:szCs w:val="22"/>
        </w:rPr>
        <w:t>ALPHA</w:t>
      </w:r>
      <w:r w:rsidRPr="0000418E">
        <w:rPr>
          <w:sz w:val="22"/>
          <w:szCs w:val="22"/>
          <w:lang w:val="el-GR"/>
        </w:rPr>
        <w:t xml:space="preserve"> </w:t>
      </w:r>
      <w:r w:rsidRPr="0000418E">
        <w:rPr>
          <w:sz w:val="22"/>
          <w:szCs w:val="22"/>
        </w:rPr>
        <w:t>LEASING</w:t>
      </w:r>
      <w:r w:rsidRPr="0000418E">
        <w:rPr>
          <w:sz w:val="22"/>
          <w:szCs w:val="22"/>
          <w:lang w:val="el-GR"/>
        </w:rPr>
        <w:t xml:space="preserve"> 12,3% και ΕΘΝΙΚΗ </w:t>
      </w:r>
      <w:r w:rsidRPr="0000418E">
        <w:rPr>
          <w:sz w:val="22"/>
          <w:szCs w:val="22"/>
        </w:rPr>
        <w:t>LEASING</w:t>
      </w:r>
      <w:r w:rsidRPr="0000418E">
        <w:rPr>
          <w:sz w:val="22"/>
          <w:szCs w:val="22"/>
          <w:lang w:val="el-GR"/>
        </w:rPr>
        <w:t xml:space="preserve"> 9,3%.  Η εταιρεία μας </w:t>
      </w:r>
      <w:smartTag w:uri="urn:schemas-microsoft-com:office:smarttags" w:element="PersonName">
        <w:r w:rsidRPr="0000418E">
          <w:rPr>
            <w:sz w:val="22"/>
            <w:szCs w:val="22"/>
          </w:rPr>
          <w:t>ATE</w:t>
        </w:r>
      </w:smartTag>
      <w:r w:rsidRPr="0000418E">
        <w:rPr>
          <w:sz w:val="22"/>
          <w:szCs w:val="22"/>
          <w:lang w:val="el-GR"/>
        </w:rPr>
        <w:t xml:space="preserve"> </w:t>
      </w:r>
      <w:r w:rsidRPr="0000418E">
        <w:rPr>
          <w:sz w:val="22"/>
          <w:szCs w:val="22"/>
        </w:rPr>
        <w:t>LEASING</w:t>
      </w:r>
      <w:r w:rsidRPr="0000418E">
        <w:rPr>
          <w:sz w:val="22"/>
          <w:szCs w:val="22"/>
          <w:lang w:val="el-GR"/>
        </w:rPr>
        <w:t xml:space="preserve"> καταλαμβάνει την 8</w:t>
      </w:r>
      <w:r w:rsidRPr="0000418E">
        <w:rPr>
          <w:sz w:val="22"/>
          <w:szCs w:val="22"/>
          <w:vertAlign w:val="superscript"/>
          <w:lang w:val="el-GR"/>
        </w:rPr>
        <w:t>η</w:t>
      </w:r>
      <w:r w:rsidRPr="0000418E">
        <w:rPr>
          <w:sz w:val="22"/>
          <w:szCs w:val="22"/>
          <w:lang w:val="el-GR"/>
        </w:rPr>
        <w:t xml:space="preserve"> θέση με ποσοστό 4,7% περίπου. Όλες οι Εταιρίες που δραστηριοποιούνται στο κλάδο είναι θυγατρικές τραπεζικών ομίλων.</w:t>
      </w:r>
    </w:p>
    <w:p w:rsidR="00C63334" w:rsidRPr="0000418E" w:rsidRDefault="00C63334" w:rsidP="00C63334">
      <w:pPr>
        <w:pStyle w:val="BodyText2"/>
        <w:spacing w:line="240" w:lineRule="auto"/>
        <w:jc w:val="both"/>
        <w:rPr>
          <w:sz w:val="22"/>
          <w:szCs w:val="22"/>
          <w:lang w:val="el-GR"/>
        </w:rPr>
      </w:pPr>
      <w:r w:rsidRPr="0000418E">
        <w:rPr>
          <w:sz w:val="22"/>
          <w:szCs w:val="22"/>
          <w:lang w:val="el-GR"/>
        </w:rPr>
        <w:t xml:space="preserve">Για το 2012, (διαθέσιμα στοιχεία) το συνολικό ύψος νέων συμβάσεων του κλάδου ανήλθε σε € 214,2 εκατομμύρια  έναντι € 477,2 εκατομμύρια  το  2011, με αποτέλεσμα να καταγραφεί  μείωση της τάξης του 55,1% περίπου (μείωση σε ποσοστό 59,7% είχε καταγραφεί και μεταξύ των χρήσεων 2011 σε σχέση με το 2010). </w:t>
      </w:r>
    </w:p>
    <w:p w:rsidR="00C63334" w:rsidRPr="0000418E" w:rsidRDefault="00C63334" w:rsidP="00C63334">
      <w:pPr>
        <w:pStyle w:val="BodyText2"/>
        <w:spacing w:line="240" w:lineRule="auto"/>
        <w:jc w:val="both"/>
        <w:rPr>
          <w:sz w:val="22"/>
          <w:szCs w:val="22"/>
          <w:lang w:val="el-GR"/>
        </w:rPr>
      </w:pPr>
      <w:r w:rsidRPr="0000418E">
        <w:rPr>
          <w:sz w:val="22"/>
          <w:szCs w:val="22"/>
          <w:lang w:val="el-GR"/>
        </w:rPr>
        <w:t xml:space="preserve">Όπως φαίνεται από τα στοιχεία που παραπάνω παραθέτονται, το 2012 ήταν το δραματικότερο έτος από την αρχή λειτουργίας του θεσμού του </w:t>
      </w:r>
      <w:r w:rsidRPr="0000418E">
        <w:rPr>
          <w:sz w:val="22"/>
          <w:szCs w:val="22"/>
        </w:rPr>
        <w:t>leasing</w:t>
      </w:r>
      <w:r w:rsidRPr="0000418E">
        <w:rPr>
          <w:sz w:val="22"/>
          <w:szCs w:val="22"/>
          <w:lang w:val="el-GR"/>
        </w:rPr>
        <w:t xml:space="preserve"> στην Ελλάδα.</w:t>
      </w:r>
    </w:p>
    <w:p w:rsidR="00C63334" w:rsidRPr="0000418E" w:rsidRDefault="00C63334" w:rsidP="00C63334">
      <w:pPr>
        <w:pStyle w:val="BodyText2"/>
        <w:spacing w:line="240" w:lineRule="auto"/>
        <w:jc w:val="both"/>
        <w:rPr>
          <w:sz w:val="22"/>
          <w:szCs w:val="22"/>
          <w:lang w:val="el-GR"/>
        </w:rPr>
      </w:pPr>
      <w:r w:rsidRPr="0000418E">
        <w:rPr>
          <w:sz w:val="22"/>
          <w:szCs w:val="22"/>
          <w:lang w:val="el-GR"/>
        </w:rPr>
        <w:t xml:space="preserve">Τα γεγονότα που επηρέασαν τις νέες εργασίες είναι αφενός η μη διάθεση κεφαλαίων για χρηματοδότηση από τις τράπεζες </w:t>
      </w:r>
      <w:r w:rsidRPr="00B90261">
        <w:rPr>
          <w:sz w:val="22"/>
          <w:szCs w:val="22"/>
          <w:lang w:val="el-GR"/>
        </w:rPr>
        <w:t>και αφετέρου η έλλειψη επενδύσεων από τους επιχειρηματίες.</w:t>
      </w:r>
    </w:p>
    <w:p w:rsidR="00C63334" w:rsidRPr="0000418E" w:rsidRDefault="00C63334" w:rsidP="00C63334">
      <w:pPr>
        <w:suppressAutoHyphens/>
        <w:jc w:val="both"/>
        <w:rPr>
          <w:szCs w:val="22"/>
          <w:lang w:val="el-GR"/>
        </w:rPr>
      </w:pPr>
    </w:p>
    <w:p w:rsidR="00C63334" w:rsidRPr="0000418E" w:rsidRDefault="00C63334" w:rsidP="00C63334">
      <w:pPr>
        <w:pStyle w:val="Heading1"/>
        <w:rPr>
          <w:rFonts w:eastAsia="Arial Unicode MS"/>
          <w:iCs/>
          <w:sz w:val="24"/>
          <w:szCs w:val="24"/>
          <w:u w:val="single"/>
          <w:lang w:val="el-GR"/>
        </w:rPr>
      </w:pPr>
      <w:r w:rsidRPr="0000418E">
        <w:rPr>
          <w:iCs/>
          <w:sz w:val="24"/>
          <w:szCs w:val="24"/>
          <w:u w:val="single"/>
          <w:lang w:val="el-GR"/>
        </w:rPr>
        <w:t>ΙΙ. ΠΟΡΕΙΑ ΚΑΙ ΔΡΑΣΕΙΣ ΤΗΣ ΕΤΑΙΡΙΑΣ ΓΙΑ ΤΟ 2012</w:t>
      </w:r>
    </w:p>
    <w:p w:rsidR="00C63334" w:rsidRPr="0000418E" w:rsidRDefault="00C63334" w:rsidP="00C63334">
      <w:pPr>
        <w:jc w:val="both"/>
        <w:rPr>
          <w:b/>
          <w:szCs w:val="22"/>
          <w:lang w:val="el-GR"/>
        </w:rPr>
      </w:pPr>
    </w:p>
    <w:p w:rsidR="00C63334" w:rsidRPr="0000418E" w:rsidRDefault="00C63334" w:rsidP="00C63334">
      <w:pPr>
        <w:pStyle w:val="Heading1"/>
        <w:rPr>
          <w:rFonts w:eastAsia="Arial Unicode MS"/>
          <w:iCs/>
          <w:szCs w:val="22"/>
          <w:lang w:val="el-GR"/>
        </w:rPr>
      </w:pPr>
      <w:r w:rsidRPr="0000418E">
        <w:rPr>
          <w:iCs/>
          <w:szCs w:val="22"/>
          <w:lang w:val="el-GR"/>
        </w:rPr>
        <w:t>Συνοπτική παρουσίαση των Αποτελεσμάτων Χρήσεως</w:t>
      </w:r>
    </w:p>
    <w:p w:rsidR="00C63334" w:rsidRPr="0000418E" w:rsidRDefault="00C63334" w:rsidP="00C63334">
      <w:pPr>
        <w:jc w:val="both"/>
        <w:rPr>
          <w:b/>
          <w:szCs w:val="22"/>
          <w:lang w:val="el-GR"/>
        </w:rPr>
      </w:pPr>
    </w:p>
    <w:p w:rsidR="00C63334" w:rsidRPr="0000418E" w:rsidRDefault="00C63334" w:rsidP="00C63334">
      <w:pPr>
        <w:autoSpaceDE w:val="0"/>
        <w:autoSpaceDN w:val="0"/>
        <w:adjustRightInd w:val="0"/>
        <w:jc w:val="both"/>
        <w:rPr>
          <w:szCs w:val="22"/>
          <w:lang w:val="el-GR"/>
        </w:rPr>
      </w:pPr>
      <w:r w:rsidRPr="0000418E">
        <w:rPr>
          <w:szCs w:val="22"/>
          <w:lang w:val="el-GR"/>
        </w:rPr>
        <w:t xml:space="preserve">Τα αποτελέσματα χρήσεως 2012 (προ φόρων), εμφανίζουν ζημία η οποία ανέρχεται στο ποσό των € </w:t>
      </w:r>
      <w:smartTag w:uri="urn:schemas-microsoft-com:office:smarttags" w:element="metricconverter">
        <w:smartTagPr>
          <w:attr w:name="ProductID" w:val="65.450 χιλ."/>
        </w:smartTagPr>
        <w:r w:rsidRPr="0000418E">
          <w:rPr>
            <w:szCs w:val="22"/>
            <w:lang w:val="el-GR"/>
          </w:rPr>
          <w:t>65.450 χιλ.</w:t>
        </w:r>
      </w:smartTag>
      <w:r w:rsidRPr="0000418E">
        <w:rPr>
          <w:szCs w:val="22"/>
          <w:lang w:val="el-GR"/>
        </w:rPr>
        <w:t xml:space="preserve"> έναντι επίσης ζημιάς € </w:t>
      </w:r>
      <w:smartTag w:uri="urn:schemas-microsoft-com:office:smarttags" w:element="metricconverter">
        <w:smartTagPr>
          <w:attr w:name="ProductID" w:val="68.822 χιλ."/>
        </w:smartTagPr>
        <w:r w:rsidRPr="0000418E">
          <w:rPr>
            <w:szCs w:val="22"/>
            <w:lang w:val="el-GR"/>
          </w:rPr>
          <w:t>68.822 χιλ.</w:t>
        </w:r>
      </w:smartTag>
      <w:r w:rsidRPr="0000418E">
        <w:rPr>
          <w:szCs w:val="22"/>
          <w:lang w:val="el-GR"/>
        </w:rPr>
        <w:t xml:space="preserve"> του 2011. Η ζημία των τελευταίων χρήσεων οφείλεται στη νέα προσέγγιση της πιθανής ζημίας της </w:t>
      </w:r>
      <w:r>
        <w:rPr>
          <w:szCs w:val="22"/>
          <w:lang w:val="el-GR"/>
        </w:rPr>
        <w:t>ε</w:t>
      </w:r>
      <w:r w:rsidRPr="0000418E">
        <w:rPr>
          <w:szCs w:val="22"/>
          <w:lang w:val="el-GR"/>
        </w:rPr>
        <w:t>ταιρείας μας, σε εφαρμογή όσων παρακάτω αναφέρονται (η ίδια μέθοδος ακολουθήθηκε και στις χρήσεις 2011, 2010 και  2009):</w:t>
      </w:r>
    </w:p>
    <w:p w:rsidR="00C63334" w:rsidRPr="0000418E" w:rsidRDefault="00C63334" w:rsidP="00C63334">
      <w:pPr>
        <w:autoSpaceDE w:val="0"/>
        <w:autoSpaceDN w:val="0"/>
        <w:adjustRightInd w:val="0"/>
        <w:jc w:val="both"/>
        <w:rPr>
          <w:szCs w:val="22"/>
          <w:lang w:val="el-GR"/>
        </w:rPr>
      </w:pPr>
    </w:p>
    <w:p w:rsidR="00C63334" w:rsidRPr="0000418E" w:rsidRDefault="00C63334" w:rsidP="00C63334">
      <w:pPr>
        <w:numPr>
          <w:ilvl w:val="0"/>
          <w:numId w:val="31"/>
        </w:num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both"/>
        <w:rPr>
          <w:szCs w:val="22"/>
          <w:lang w:val="el-GR"/>
        </w:rPr>
      </w:pPr>
      <w:r w:rsidRPr="0000418E">
        <w:rPr>
          <w:szCs w:val="22"/>
          <w:lang w:val="el-GR"/>
        </w:rPr>
        <w:t xml:space="preserve">Συμβάσεις που βρίσκονται σε καθυστέρηση άνω των 90 ημερών και η ληξιπρόθεσμη οφειλή τους είναι μεγαλύτερη του 2% της συνολικής οφειλής (άληκτο + ληξιπρόθεσμα ), </w:t>
      </w:r>
      <w:r w:rsidRPr="00B90261">
        <w:rPr>
          <w:szCs w:val="22"/>
          <w:lang w:val="el-GR"/>
        </w:rPr>
        <w:t>κατά κανόνα</w:t>
      </w:r>
      <w:r>
        <w:rPr>
          <w:szCs w:val="22"/>
          <w:lang w:val="el-GR"/>
        </w:rPr>
        <w:t xml:space="preserve"> </w:t>
      </w:r>
      <w:r w:rsidRPr="0000418E">
        <w:rPr>
          <w:szCs w:val="22"/>
          <w:lang w:val="el-GR"/>
        </w:rPr>
        <w:t>καταγγέλλονται .  Επομένως οι πελάτες που είναι φορείς των συμβάσεων αυτών,  κατατάσσονται στην Ζ1 βαθμίδα πιστωτικής κατάταξης με ΣΕΑ 100%.</w:t>
      </w:r>
    </w:p>
    <w:p w:rsidR="00C63334" w:rsidRPr="0000418E" w:rsidRDefault="00C63334" w:rsidP="00C63334">
      <w:pPr>
        <w:numPr>
          <w:ilvl w:val="0"/>
          <w:numId w:val="31"/>
        </w:num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both"/>
        <w:rPr>
          <w:szCs w:val="22"/>
          <w:lang w:val="el-GR"/>
        </w:rPr>
      </w:pPr>
      <w:r w:rsidRPr="0000418E">
        <w:rPr>
          <w:szCs w:val="22"/>
          <w:lang w:val="el-GR"/>
        </w:rPr>
        <w:t>Σε όλους τους πελάτες - ανεξαρτήτως διαβάθμισης και ημερών καθυστέρησης δεν υπολογίζεται η διασφαλιστική αξία του πάγιου κινητού εξοπλισμού εφ’ όσον:</w:t>
      </w:r>
    </w:p>
    <w:p w:rsidR="00C63334" w:rsidRPr="0000418E" w:rsidRDefault="00C63334" w:rsidP="00C63334">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both"/>
        <w:rPr>
          <w:szCs w:val="22"/>
          <w:lang w:val="el-GR"/>
        </w:rPr>
      </w:pPr>
    </w:p>
    <w:p w:rsidR="00C63334" w:rsidRPr="0000418E" w:rsidRDefault="00C63334" w:rsidP="00C63334">
      <w:pPr>
        <w:numPr>
          <w:ilvl w:val="1"/>
          <w:numId w:val="27"/>
        </w:numPr>
        <w:tabs>
          <w:tab w:val="clear" w:pos="227"/>
          <w:tab w:val="clear" w:pos="454"/>
          <w:tab w:val="clear" w:pos="680"/>
          <w:tab w:val="clear" w:pos="907"/>
          <w:tab w:val="clear" w:pos="1440"/>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num" w:pos="720"/>
        </w:tabs>
        <w:spacing w:line="240" w:lineRule="auto"/>
        <w:ind w:left="720"/>
        <w:jc w:val="both"/>
        <w:rPr>
          <w:szCs w:val="22"/>
          <w:lang w:val="el-GR"/>
        </w:rPr>
      </w:pPr>
      <w:r w:rsidRPr="0000418E">
        <w:rPr>
          <w:szCs w:val="22"/>
          <w:lang w:val="el-GR"/>
        </w:rPr>
        <w:lastRenderedPageBreak/>
        <w:t xml:space="preserve">ο εξοπλισμός ανήκει στις κατηγορίες : μηχανοκίνητα – τροχοφόρα,   μηχανήματα έργου - τροχοφόρα και γεωργικά μηχανήματα τροχοφόρα και έχουν περάσει 8 έτη από την υπογραφή της σύμβασης, </w:t>
      </w:r>
    </w:p>
    <w:p w:rsidR="00C63334" w:rsidRPr="0000418E" w:rsidRDefault="00C63334" w:rsidP="00C63334">
      <w:pPr>
        <w:numPr>
          <w:ilvl w:val="1"/>
          <w:numId w:val="27"/>
        </w:numPr>
        <w:tabs>
          <w:tab w:val="clear" w:pos="227"/>
          <w:tab w:val="clear" w:pos="454"/>
          <w:tab w:val="clear" w:pos="680"/>
          <w:tab w:val="clear" w:pos="907"/>
          <w:tab w:val="clear" w:pos="1440"/>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num" w:pos="720"/>
        </w:tabs>
        <w:spacing w:line="240" w:lineRule="auto"/>
        <w:ind w:left="720"/>
        <w:jc w:val="both"/>
        <w:rPr>
          <w:szCs w:val="22"/>
          <w:lang w:val="el-GR"/>
        </w:rPr>
      </w:pPr>
      <w:r w:rsidRPr="0000418E">
        <w:rPr>
          <w:szCs w:val="22"/>
          <w:lang w:val="el-GR"/>
        </w:rPr>
        <w:t>ο εξοπλισμός ανήκει στις κατηγορίες : μηχανήματα παραγωγής –      μηχανολογικός εξοπλισμός και ηλεκτρονικός – λοιπός εξοπλισμός, ανεξαρτήτως παλαιότητας εξοπλισμού.</w:t>
      </w:r>
    </w:p>
    <w:p w:rsidR="00C63334" w:rsidRPr="0000418E" w:rsidRDefault="00C63334" w:rsidP="00C63334">
      <w:pPr>
        <w:numPr>
          <w:ilvl w:val="1"/>
          <w:numId w:val="27"/>
        </w:numPr>
        <w:tabs>
          <w:tab w:val="clear" w:pos="227"/>
          <w:tab w:val="clear" w:pos="454"/>
          <w:tab w:val="clear" w:pos="680"/>
          <w:tab w:val="clear" w:pos="907"/>
          <w:tab w:val="clear" w:pos="1440"/>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num" w:pos="720"/>
        </w:tabs>
        <w:spacing w:line="240" w:lineRule="auto"/>
        <w:ind w:left="720"/>
        <w:jc w:val="both"/>
        <w:rPr>
          <w:szCs w:val="22"/>
          <w:lang w:val="el-GR"/>
        </w:rPr>
      </w:pPr>
      <w:r w:rsidRPr="0000418E">
        <w:rPr>
          <w:szCs w:val="22"/>
          <w:lang w:val="el-GR"/>
        </w:rPr>
        <w:t xml:space="preserve">πρόκειται για ιατρικά μηχανήματα και έχουν περάσει 3 έτη από την υπογραφή της σύμβασης. </w:t>
      </w:r>
    </w:p>
    <w:p w:rsidR="00C63334" w:rsidRPr="0000418E" w:rsidRDefault="00C63334" w:rsidP="00C63334">
      <w:pPr>
        <w:jc w:val="both"/>
        <w:rPr>
          <w:szCs w:val="22"/>
          <w:lang w:val="el-GR"/>
        </w:rPr>
      </w:pPr>
    </w:p>
    <w:p w:rsidR="00C63334" w:rsidRPr="0000418E" w:rsidRDefault="00C63334" w:rsidP="00C63334">
      <w:pPr>
        <w:pStyle w:val="Heading1"/>
        <w:jc w:val="both"/>
        <w:rPr>
          <w:rFonts w:eastAsia="Arial Unicode MS"/>
          <w:b w:val="0"/>
          <w:i/>
          <w:szCs w:val="22"/>
          <w:lang w:val="el-GR"/>
        </w:rPr>
      </w:pPr>
      <w:r w:rsidRPr="0000418E">
        <w:rPr>
          <w:b w:val="0"/>
          <w:i/>
          <w:szCs w:val="22"/>
          <w:lang w:val="el-GR"/>
        </w:rPr>
        <w:t xml:space="preserve">Συνοπτικά τα  Στοιχεία της Κατάστασης Οικονομικής θέσης και της Κατάστασης Αποτελεσμάτων Χρήσεως, για τις χρήσεις 2012 και 2011, έχουν ως εξής: </w:t>
      </w:r>
    </w:p>
    <w:p w:rsidR="00C63334" w:rsidRPr="0000418E" w:rsidRDefault="00C63334" w:rsidP="00C63334">
      <w:pPr>
        <w:autoSpaceDE w:val="0"/>
        <w:autoSpaceDN w:val="0"/>
        <w:adjustRightInd w:val="0"/>
        <w:jc w:val="both"/>
        <w:rPr>
          <w:szCs w:val="22"/>
          <w:lang w:val="el-GR"/>
        </w:rPr>
      </w:pPr>
    </w:p>
    <w:p w:rsidR="00C63334" w:rsidRPr="0000418E" w:rsidRDefault="00C63334" w:rsidP="00C63334">
      <w:pPr>
        <w:autoSpaceDE w:val="0"/>
        <w:autoSpaceDN w:val="0"/>
        <w:adjustRightInd w:val="0"/>
        <w:jc w:val="both"/>
        <w:rPr>
          <w:szCs w:val="22"/>
          <w:lang w:val="el-GR"/>
        </w:rPr>
      </w:pPr>
    </w:p>
    <w:p w:rsidR="00C63334" w:rsidRPr="0000418E" w:rsidRDefault="00C63334" w:rsidP="00C63334">
      <w:pPr>
        <w:pStyle w:val="Heading1"/>
        <w:rPr>
          <w:iCs/>
          <w:szCs w:val="22"/>
          <w:lang w:val="el-GR"/>
        </w:rPr>
      </w:pPr>
      <w:r w:rsidRPr="0000418E">
        <w:rPr>
          <w:iCs/>
          <w:szCs w:val="22"/>
          <w:lang w:val="el-GR"/>
        </w:rPr>
        <w:t>Στοιχεία Κατάστασης Οικονομικής θέσης</w:t>
      </w:r>
    </w:p>
    <w:p w:rsidR="00C63334" w:rsidRPr="0000418E" w:rsidRDefault="00C63334" w:rsidP="00C63334">
      <w:pPr>
        <w:autoSpaceDE w:val="0"/>
        <w:autoSpaceDN w:val="0"/>
        <w:adjustRightInd w:val="0"/>
        <w:jc w:val="both"/>
        <w:rPr>
          <w:szCs w:val="22"/>
          <w:lang w:val="el-GR"/>
        </w:rPr>
      </w:pPr>
    </w:p>
    <w:tbl>
      <w:tblPr>
        <w:tblW w:w="8156" w:type="dxa"/>
        <w:tblInd w:w="108" w:type="dxa"/>
        <w:tblBorders>
          <w:top w:val="single" w:sz="4" w:space="0" w:color="auto"/>
        </w:tblBorders>
        <w:tblLook w:val="0000"/>
      </w:tblPr>
      <w:tblGrid>
        <w:gridCol w:w="4680"/>
        <w:gridCol w:w="360"/>
        <w:gridCol w:w="1440"/>
        <w:gridCol w:w="360"/>
        <w:gridCol w:w="1080"/>
        <w:gridCol w:w="236"/>
      </w:tblGrid>
      <w:tr w:rsidR="00C63334" w:rsidRPr="0000418E" w:rsidTr="00025E8C">
        <w:trPr>
          <w:trHeight w:val="340"/>
        </w:trPr>
        <w:tc>
          <w:tcPr>
            <w:tcW w:w="4680" w:type="dxa"/>
            <w:tcBorders>
              <w:top w:val="single" w:sz="4" w:space="0" w:color="auto"/>
            </w:tcBorders>
            <w:noWrap/>
            <w:vAlign w:val="center"/>
          </w:tcPr>
          <w:p w:rsidR="00C63334" w:rsidRPr="0000418E" w:rsidRDefault="00C63334" w:rsidP="00025E8C">
            <w:pPr>
              <w:rPr>
                <w:i/>
                <w:szCs w:val="22"/>
                <w:lang w:val="el-GR"/>
              </w:rPr>
            </w:pPr>
            <w:r w:rsidRPr="0000418E">
              <w:rPr>
                <w:i/>
                <w:szCs w:val="22"/>
                <w:lang w:val="el-GR"/>
              </w:rPr>
              <w:t>Ποσά σε χιλιάδες Ευρώ</w:t>
            </w:r>
          </w:p>
        </w:tc>
        <w:tc>
          <w:tcPr>
            <w:tcW w:w="360" w:type="dxa"/>
            <w:tcBorders>
              <w:top w:val="single" w:sz="4" w:space="0" w:color="auto"/>
            </w:tcBorders>
            <w:noWrap/>
            <w:vAlign w:val="center"/>
          </w:tcPr>
          <w:p w:rsidR="00C63334" w:rsidRPr="0000418E" w:rsidRDefault="00C63334" w:rsidP="00025E8C">
            <w:pPr>
              <w:rPr>
                <w:szCs w:val="22"/>
                <w:lang w:val="el-GR"/>
              </w:rPr>
            </w:pPr>
          </w:p>
        </w:tc>
        <w:tc>
          <w:tcPr>
            <w:tcW w:w="1440" w:type="dxa"/>
            <w:tcBorders>
              <w:top w:val="single" w:sz="4" w:space="0" w:color="auto"/>
            </w:tcBorders>
            <w:vAlign w:val="center"/>
          </w:tcPr>
          <w:p w:rsidR="00C63334" w:rsidRPr="0000418E" w:rsidRDefault="00C63334" w:rsidP="00025E8C">
            <w:pPr>
              <w:jc w:val="center"/>
              <w:rPr>
                <w:b/>
                <w:szCs w:val="22"/>
                <w:lang w:val="el-GR"/>
              </w:rPr>
            </w:pPr>
          </w:p>
        </w:tc>
        <w:tc>
          <w:tcPr>
            <w:tcW w:w="360" w:type="dxa"/>
            <w:tcBorders>
              <w:top w:val="single" w:sz="4" w:space="0" w:color="auto"/>
            </w:tcBorders>
          </w:tcPr>
          <w:p w:rsidR="00C63334" w:rsidRPr="0000418E" w:rsidRDefault="00C63334" w:rsidP="00025E8C">
            <w:pPr>
              <w:jc w:val="center"/>
              <w:rPr>
                <w:szCs w:val="22"/>
                <w:lang w:val="el-GR"/>
              </w:rPr>
            </w:pPr>
          </w:p>
        </w:tc>
        <w:tc>
          <w:tcPr>
            <w:tcW w:w="1080" w:type="dxa"/>
            <w:tcBorders>
              <w:top w:val="single" w:sz="4" w:space="0" w:color="auto"/>
            </w:tcBorders>
            <w:noWrap/>
            <w:vAlign w:val="center"/>
          </w:tcPr>
          <w:p w:rsidR="00C63334" w:rsidRPr="0000418E" w:rsidRDefault="00C63334" w:rsidP="00025E8C">
            <w:pPr>
              <w:jc w:val="center"/>
              <w:rPr>
                <w:b/>
                <w:szCs w:val="22"/>
                <w:lang w:val="el-GR"/>
              </w:rPr>
            </w:pPr>
          </w:p>
        </w:tc>
        <w:tc>
          <w:tcPr>
            <w:tcW w:w="236" w:type="dxa"/>
            <w:tcBorders>
              <w:top w:val="single" w:sz="4" w:space="0" w:color="auto"/>
            </w:tcBorders>
            <w:vAlign w:val="center"/>
          </w:tcPr>
          <w:p w:rsidR="00C63334" w:rsidRPr="0000418E" w:rsidRDefault="00C63334" w:rsidP="00025E8C">
            <w:pPr>
              <w:jc w:val="center"/>
              <w:rPr>
                <w:szCs w:val="22"/>
                <w:lang w:val="el-GR"/>
              </w:rPr>
            </w:pPr>
          </w:p>
        </w:tc>
      </w:tr>
      <w:tr w:rsidR="00C63334" w:rsidRPr="0000418E" w:rsidTr="00025E8C">
        <w:trPr>
          <w:trHeight w:val="340"/>
        </w:trPr>
        <w:tc>
          <w:tcPr>
            <w:tcW w:w="4680" w:type="dxa"/>
            <w:noWrap/>
            <w:vAlign w:val="center"/>
          </w:tcPr>
          <w:p w:rsidR="00C63334" w:rsidRPr="0000418E" w:rsidRDefault="00C63334" w:rsidP="00025E8C">
            <w:pPr>
              <w:rPr>
                <w:szCs w:val="22"/>
                <w:lang w:val="el-GR"/>
              </w:rPr>
            </w:pPr>
          </w:p>
        </w:tc>
        <w:tc>
          <w:tcPr>
            <w:tcW w:w="360" w:type="dxa"/>
            <w:noWrap/>
            <w:vAlign w:val="center"/>
          </w:tcPr>
          <w:p w:rsidR="00C63334" w:rsidRPr="0000418E" w:rsidRDefault="00C63334" w:rsidP="00025E8C">
            <w:pPr>
              <w:jc w:val="center"/>
              <w:rPr>
                <w:szCs w:val="22"/>
                <w:lang w:val="el-GR"/>
              </w:rPr>
            </w:pPr>
          </w:p>
        </w:tc>
        <w:tc>
          <w:tcPr>
            <w:tcW w:w="1440" w:type="dxa"/>
            <w:tcBorders>
              <w:bottom w:val="nil"/>
            </w:tcBorders>
            <w:vAlign w:val="center"/>
          </w:tcPr>
          <w:p w:rsidR="00C63334" w:rsidRPr="0000418E" w:rsidRDefault="00C63334" w:rsidP="00025E8C">
            <w:pPr>
              <w:jc w:val="right"/>
              <w:rPr>
                <w:b/>
                <w:szCs w:val="22"/>
                <w:u w:val="single"/>
                <w:lang w:val="el-GR"/>
              </w:rPr>
            </w:pPr>
            <w:r w:rsidRPr="0000418E">
              <w:rPr>
                <w:b/>
                <w:szCs w:val="22"/>
                <w:u w:val="single"/>
                <w:lang w:val="el-GR"/>
              </w:rPr>
              <w:t>2012</w:t>
            </w:r>
          </w:p>
        </w:tc>
        <w:tc>
          <w:tcPr>
            <w:tcW w:w="360" w:type="dxa"/>
            <w:tcBorders>
              <w:bottom w:val="nil"/>
            </w:tcBorders>
          </w:tcPr>
          <w:p w:rsidR="00C63334" w:rsidRPr="0000418E" w:rsidRDefault="00C63334" w:rsidP="00025E8C">
            <w:pPr>
              <w:jc w:val="center"/>
              <w:rPr>
                <w:szCs w:val="22"/>
                <w:lang w:val="el-GR"/>
              </w:rPr>
            </w:pPr>
          </w:p>
        </w:tc>
        <w:tc>
          <w:tcPr>
            <w:tcW w:w="1080" w:type="dxa"/>
            <w:tcBorders>
              <w:bottom w:val="nil"/>
            </w:tcBorders>
            <w:noWrap/>
            <w:vAlign w:val="center"/>
          </w:tcPr>
          <w:p w:rsidR="00C63334" w:rsidRPr="0000418E" w:rsidRDefault="00C63334" w:rsidP="00025E8C">
            <w:pPr>
              <w:jc w:val="right"/>
              <w:rPr>
                <w:b/>
                <w:szCs w:val="22"/>
                <w:u w:val="single"/>
                <w:lang w:val="el-GR"/>
              </w:rPr>
            </w:pPr>
            <w:r w:rsidRPr="0000418E">
              <w:rPr>
                <w:b/>
                <w:szCs w:val="22"/>
                <w:u w:val="single"/>
                <w:lang w:val="el-GR"/>
              </w:rPr>
              <w:t>2011</w:t>
            </w:r>
          </w:p>
        </w:tc>
        <w:tc>
          <w:tcPr>
            <w:tcW w:w="236" w:type="dxa"/>
            <w:vAlign w:val="center"/>
          </w:tcPr>
          <w:p w:rsidR="00C63334" w:rsidRPr="0000418E" w:rsidRDefault="00C63334" w:rsidP="00025E8C">
            <w:pPr>
              <w:jc w:val="center"/>
              <w:rPr>
                <w:szCs w:val="22"/>
                <w:lang w:val="el-GR"/>
              </w:rPr>
            </w:pPr>
          </w:p>
        </w:tc>
      </w:tr>
      <w:tr w:rsidR="00C63334" w:rsidRPr="0000418E" w:rsidTr="00025E8C">
        <w:trPr>
          <w:trHeight w:val="340"/>
        </w:trPr>
        <w:tc>
          <w:tcPr>
            <w:tcW w:w="4680" w:type="dxa"/>
            <w:noWrap/>
            <w:vAlign w:val="center"/>
          </w:tcPr>
          <w:p w:rsidR="00C63334" w:rsidRPr="0000418E" w:rsidRDefault="00C63334" w:rsidP="00025E8C">
            <w:pPr>
              <w:jc w:val="both"/>
              <w:rPr>
                <w:b/>
                <w:szCs w:val="22"/>
                <w:lang w:val="el-GR"/>
              </w:rPr>
            </w:pPr>
            <w:r w:rsidRPr="0000418E">
              <w:rPr>
                <w:b/>
                <w:szCs w:val="22"/>
                <w:lang w:val="el-GR"/>
              </w:rPr>
              <w:t>Χρηματικά Διαθέσιμα</w:t>
            </w:r>
          </w:p>
        </w:tc>
        <w:tc>
          <w:tcPr>
            <w:tcW w:w="360" w:type="dxa"/>
            <w:noWrap/>
            <w:vAlign w:val="center"/>
          </w:tcPr>
          <w:p w:rsidR="00C63334" w:rsidRPr="0000418E" w:rsidRDefault="00C63334" w:rsidP="00025E8C">
            <w:pPr>
              <w:jc w:val="center"/>
              <w:rPr>
                <w:szCs w:val="22"/>
                <w:lang w:val="el-GR"/>
              </w:rPr>
            </w:pPr>
          </w:p>
        </w:tc>
        <w:tc>
          <w:tcPr>
            <w:tcW w:w="1440" w:type="dxa"/>
            <w:tcBorders>
              <w:top w:val="nil"/>
              <w:bottom w:val="nil"/>
            </w:tcBorders>
            <w:vAlign w:val="center"/>
          </w:tcPr>
          <w:p w:rsidR="00C63334" w:rsidRPr="0000418E" w:rsidRDefault="00C63334" w:rsidP="00025E8C">
            <w:pPr>
              <w:jc w:val="right"/>
              <w:rPr>
                <w:b/>
                <w:szCs w:val="22"/>
                <w:lang w:val="el-GR"/>
              </w:rPr>
            </w:pPr>
            <w:r w:rsidRPr="0000418E">
              <w:rPr>
                <w:b/>
                <w:szCs w:val="22"/>
              </w:rPr>
              <w:t>22.472</w:t>
            </w:r>
          </w:p>
        </w:tc>
        <w:tc>
          <w:tcPr>
            <w:tcW w:w="360" w:type="dxa"/>
            <w:tcBorders>
              <w:top w:val="nil"/>
              <w:bottom w:val="nil"/>
            </w:tcBorders>
          </w:tcPr>
          <w:p w:rsidR="00C63334" w:rsidRPr="0000418E" w:rsidRDefault="00C63334" w:rsidP="00025E8C">
            <w:pPr>
              <w:jc w:val="right"/>
              <w:rPr>
                <w:szCs w:val="22"/>
                <w:lang w:val="el-GR"/>
              </w:rPr>
            </w:pPr>
          </w:p>
        </w:tc>
        <w:tc>
          <w:tcPr>
            <w:tcW w:w="1080" w:type="dxa"/>
            <w:tcBorders>
              <w:top w:val="nil"/>
              <w:bottom w:val="nil"/>
            </w:tcBorders>
            <w:noWrap/>
            <w:vAlign w:val="center"/>
          </w:tcPr>
          <w:p w:rsidR="00C63334" w:rsidRPr="0000418E" w:rsidRDefault="00C63334" w:rsidP="00025E8C">
            <w:pPr>
              <w:jc w:val="right"/>
              <w:rPr>
                <w:b/>
                <w:szCs w:val="22"/>
                <w:lang w:val="el-GR"/>
              </w:rPr>
            </w:pPr>
            <w:r w:rsidRPr="0000418E">
              <w:rPr>
                <w:b/>
                <w:szCs w:val="22"/>
                <w:lang w:val="el-GR"/>
              </w:rPr>
              <w:t>102.501</w:t>
            </w:r>
          </w:p>
        </w:tc>
        <w:tc>
          <w:tcPr>
            <w:tcW w:w="236" w:type="dxa"/>
            <w:vAlign w:val="center"/>
          </w:tcPr>
          <w:p w:rsidR="00C63334" w:rsidRPr="0000418E" w:rsidRDefault="00C63334" w:rsidP="00025E8C">
            <w:pPr>
              <w:jc w:val="right"/>
              <w:rPr>
                <w:szCs w:val="22"/>
                <w:lang w:val="el-GR"/>
              </w:rPr>
            </w:pPr>
          </w:p>
        </w:tc>
      </w:tr>
      <w:tr w:rsidR="00C63334" w:rsidRPr="0000418E" w:rsidTr="00025E8C">
        <w:trPr>
          <w:trHeight w:val="340"/>
        </w:trPr>
        <w:tc>
          <w:tcPr>
            <w:tcW w:w="4680" w:type="dxa"/>
            <w:noWrap/>
            <w:vAlign w:val="center"/>
          </w:tcPr>
          <w:p w:rsidR="00C63334" w:rsidRPr="0000418E" w:rsidRDefault="00C63334" w:rsidP="00025E8C">
            <w:pPr>
              <w:jc w:val="both"/>
              <w:rPr>
                <w:szCs w:val="22"/>
                <w:lang w:val="el-GR"/>
              </w:rPr>
            </w:pPr>
            <w:r w:rsidRPr="0000418E">
              <w:rPr>
                <w:b/>
                <w:szCs w:val="22"/>
                <w:lang w:val="el-GR"/>
              </w:rPr>
              <w:t>Απαιτήσεις από Χρηματοδοτικές Μισθώσεις</w:t>
            </w:r>
          </w:p>
        </w:tc>
        <w:tc>
          <w:tcPr>
            <w:tcW w:w="360" w:type="dxa"/>
            <w:noWrap/>
            <w:vAlign w:val="center"/>
          </w:tcPr>
          <w:p w:rsidR="00C63334" w:rsidRPr="0000418E" w:rsidRDefault="00C63334" w:rsidP="00025E8C">
            <w:pPr>
              <w:jc w:val="center"/>
              <w:rPr>
                <w:szCs w:val="22"/>
                <w:lang w:val="el-GR"/>
              </w:rPr>
            </w:pPr>
          </w:p>
        </w:tc>
        <w:tc>
          <w:tcPr>
            <w:tcW w:w="1440" w:type="dxa"/>
            <w:tcBorders>
              <w:top w:val="nil"/>
              <w:bottom w:val="nil"/>
            </w:tcBorders>
            <w:vAlign w:val="center"/>
          </w:tcPr>
          <w:p w:rsidR="00C63334" w:rsidRPr="0000418E" w:rsidRDefault="00C63334" w:rsidP="00025E8C">
            <w:pPr>
              <w:jc w:val="right"/>
              <w:rPr>
                <w:b/>
                <w:szCs w:val="22"/>
                <w:lang w:val="el-GR"/>
              </w:rPr>
            </w:pPr>
            <w:r w:rsidRPr="0000418E">
              <w:rPr>
                <w:b/>
                <w:szCs w:val="22"/>
              </w:rPr>
              <w:t>176.9</w:t>
            </w:r>
            <w:r w:rsidRPr="0000418E">
              <w:rPr>
                <w:b/>
                <w:szCs w:val="22"/>
                <w:lang w:val="el-GR"/>
              </w:rPr>
              <w:t>47</w:t>
            </w:r>
          </w:p>
        </w:tc>
        <w:tc>
          <w:tcPr>
            <w:tcW w:w="360" w:type="dxa"/>
            <w:tcBorders>
              <w:top w:val="nil"/>
              <w:bottom w:val="nil"/>
            </w:tcBorders>
          </w:tcPr>
          <w:p w:rsidR="00C63334" w:rsidRPr="0000418E" w:rsidRDefault="00C63334" w:rsidP="00025E8C">
            <w:pPr>
              <w:jc w:val="right"/>
              <w:rPr>
                <w:szCs w:val="22"/>
                <w:lang w:val="el-GR"/>
              </w:rPr>
            </w:pPr>
          </w:p>
        </w:tc>
        <w:tc>
          <w:tcPr>
            <w:tcW w:w="1080" w:type="dxa"/>
            <w:tcBorders>
              <w:top w:val="nil"/>
              <w:bottom w:val="nil"/>
            </w:tcBorders>
            <w:noWrap/>
            <w:vAlign w:val="center"/>
          </w:tcPr>
          <w:p w:rsidR="00C63334" w:rsidRPr="0000418E" w:rsidRDefault="00C63334" w:rsidP="00025E8C">
            <w:pPr>
              <w:jc w:val="right"/>
              <w:rPr>
                <w:b/>
                <w:szCs w:val="22"/>
                <w:lang w:val="el-GR"/>
              </w:rPr>
            </w:pPr>
            <w:r w:rsidRPr="0000418E">
              <w:rPr>
                <w:b/>
                <w:szCs w:val="22"/>
                <w:lang w:val="el-GR"/>
              </w:rPr>
              <w:t>205.257</w:t>
            </w:r>
          </w:p>
        </w:tc>
        <w:tc>
          <w:tcPr>
            <w:tcW w:w="236" w:type="dxa"/>
            <w:vAlign w:val="center"/>
          </w:tcPr>
          <w:p w:rsidR="00C63334" w:rsidRPr="0000418E" w:rsidRDefault="00C63334" w:rsidP="00025E8C">
            <w:pPr>
              <w:jc w:val="right"/>
              <w:rPr>
                <w:szCs w:val="22"/>
                <w:lang w:val="el-GR"/>
              </w:rPr>
            </w:pPr>
          </w:p>
        </w:tc>
      </w:tr>
      <w:tr w:rsidR="00C63334" w:rsidRPr="0000418E" w:rsidTr="00025E8C">
        <w:trPr>
          <w:trHeight w:val="340"/>
        </w:trPr>
        <w:tc>
          <w:tcPr>
            <w:tcW w:w="4680" w:type="dxa"/>
            <w:noWrap/>
            <w:vAlign w:val="center"/>
          </w:tcPr>
          <w:p w:rsidR="00C63334" w:rsidRPr="0000418E" w:rsidRDefault="00C63334" w:rsidP="00025E8C">
            <w:pPr>
              <w:jc w:val="both"/>
              <w:rPr>
                <w:b/>
                <w:szCs w:val="22"/>
                <w:lang w:val="el-GR"/>
              </w:rPr>
            </w:pPr>
            <w:r w:rsidRPr="0000418E">
              <w:rPr>
                <w:b/>
                <w:szCs w:val="22"/>
                <w:lang w:val="el-GR"/>
              </w:rPr>
              <w:t>Ομολογιακά Δάνεια</w:t>
            </w:r>
          </w:p>
        </w:tc>
        <w:tc>
          <w:tcPr>
            <w:tcW w:w="360" w:type="dxa"/>
            <w:noWrap/>
            <w:vAlign w:val="center"/>
          </w:tcPr>
          <w:p w:rsidR="00C63334" w:rsidRPr="0000418E" w:rsidRDefault="00C63334" w:rsidP="00025E8C">
            <w:pPr>
              <w:jc w:val="center"/>
              <w:rPr>
                <w:szCs w:val="22"/>
                <w:lang w:val="el-GR"/>
              </w:rPr>
            </w:pPr>
          </w:p>
        </w:tc>
        <w:tc>
          <w:tcPr>
            <w:tcW w:w="1440" w:type="dxa"/>
            <w:tcBorders>
              <w:top w:val="nil"/>
              <w:bottom w:val="nil"/>
            </w:tcBorders>
            <w:vAlign w:val="center"/>
          </w:tcPr>
          <w:p w:rsidR="00C63334" w:rsidRPr="0000418E" w:rsidRDefault="00C63334" w:rsidP="00025E8C">
            <w:pPr>
              <w:jc w:val="right"/>
              <w:rPr>
                <w:b/>
                <w:szCs w:val="22"/>
                <w:lang w:val="el-GR"/>
              </w:rPr>
            </w:pPr>
            <w:r w:rsidRPr="0000418E">
              <w:rPr>
                <w:b/>
                <w:szCs w:val="22"/>
              </w:rPr>
              <w:t>386.489</w:t>
            </w:r>
          </w:p>
        </w:tc>
        <w:tc>
          <w:tcPr>
            <w:tcW w:w="360" w:type="dxa"/>
            <w:tcBorders>
              <w:top w:val="nil"/>
              <w:bottom w:val="nil"/>
            </w:tcBorders>
          </w:tcPr>
          <w:p w:rsidR="00C63334" w:rsidRPr="0000418E" w:rsidRDefault="00C63334" w:rsidP="00025E8C">
            <w:pPr>
              <w:jc w:val="right"/>
              <w:rPr>
                <w:b/>
                <w:szCs w:val="22"/>
                <w:lang w:val="el-GR"/>
              </w:rPr>
            </w:pPr>
          </w:p>
        </w:tc>
        <w:tc>
          <w:tcPr>
            <w:tcW w:w="1080" w:type="dxa"/>
            <w:tcBorders>
              <w:top w:val="nil"/>
              <w:bottom w:val="nil"/>
            </w:tcBorders>
            <w:noWrap/>
            <w:vAlign w:val="center"/>
          </w:tcPr>
          <w:p w:rsidR="00C63334" w:rsidRPr="0000418E" w:rsidRDefault="00C63334" w:rsidP="00025E8C">
            <w:pPr>
              <w:jc w:val="right"/>
              <w:rPr>
                <w:b/>
                <w:szCs w:val="22"/>
                <w:lang w:val="el-GR"/>
              </w:rPr>
            </w:pPr>
            <w:r w:rsidRPr="0000418E">
              <w:rPr>
                <w:b/>
                <w:szCs w:val="22"/>
                <w:lang w:val="el-GR"/>
              </w:rPr>
              <w:t>430.626</w:t>
            </w:r>
          </w:p>
        </w:tc>
        <w:tc>
          <w:tcPr>
            <w:tcW w:w="236" w:type="dxa"/>
            <w:vAlign w:val="center"/>
          </w:tcPr>
          <w:p w:rsidR="00C63334" w:rsidRPr="0000418E" w:rsidRDefault="00C63334" w:rsidP="00025E8C">
            <w:pPr>
              <w:jc w:val="right"/>
              <w:rPr>
                <w:szCs w:val="22"/>
                <w:lang w:val="el-GR"/>
              </w:rPr>
            </w:pPr>
          </w:p>
        </w:tc>
      </w:tr>
    </w:tbl>
    <w:p w:rsidR="00C63334" w:rsidRPr="0000418E" w:rsidRDefault="00C63334" w:rsidP="00C63334">
      <w:pPr>
        <w:autoSpaceDE w:val="0"/>
        <w:autoSpaceDN w:val="0"/>
        <w:adjustRightInd w:val="0"/>
        <w:jc w:val="both"/>
        <w:rPr>
          <w:szCs w:val="22"/>
          <w:lang w:val="el-GR"/>
        </w:rPr>
      </w:pPr>
    </w:p>
    <w:p w:rsidR="00C63334" w:rsidRPr="0000418E" w:rsidRDefault="00C63334" w:rsidP="00C63334">
      <w:pPr>
        <w:autoSpaceDE w:val="0"/>
        <w:autoSpaceDN w:val="0"/>
        <w:adjustRightInd w:val="0"/>
        <w:jc w:val="both"/>
        <w:rPr>
          <w:szCs w:val="22"/>
          <w:lang w:val="el-GR"/>
        </w:rPr>
      </w:pPr>
      <w:r w:rsidRPr="0000418E">
        <w:rPr>
          <w:szCs w:val="22"/>
          <w:lang w:val="el-GR"/>
        </w:rPr>
        <w:t xml:space="preserve">Η </w:t>
      </w:r>
      <w:smartTag w:uri="urn:schemas-microsoft-com:office:smarttags" w:element="PersonName">
        <w:r w:rsidRPr="0000418E">
          <w:rPr>
            <w:szCs w:val="22"/>
          </w:rPr>
          <w:t>ATE</w:t>
        </w:r>
      </w:smartTag>
      <w:r w:rsidRPr="0000418E">
        <w:rPr>
          <w:szCs w:val="22"/>
          <w:lang w:val="el-GR"/>
        </w:rPr>
        <w:t xml:space="preserve"> </w:t>
      </w:r>
      <w:r w:rsidRPr="0000418E">
        <w:rPr>
          <w:szCs w:val="22"/>
        </w:rPr>
        <w:t>LEASING</w:t>
      </w:r>
      <w:r w:rsidRPr="0000418E">
        <w:rPr>
          <w:szCs w:val="22"/>
          <w:lang w:val="el-GR"/>
        </w:rPr>
        <w:t xml:space="preserve"> το έτος 2009, προχώρησε στην έκδοση ομολογιακών δανείων, με τα οποία εξόφλησε όλες τις υποχρεώσεις της σε Τραπεζικά δάνεια. Η </w:t>
      </w:r>
      <w:r>
        <w:rPr>
          <w:szCs w:val="22"/>
          <w:lang w:val="el-GR"/>
        </w:rPr>
        <w:t>Ε</w:t>
      </w:r>
      <w:r w:rsidRPr="0000418E">
        <w:rPr>
          <w:szCs w:val="22"/>
          <w:lang w:val="el-GR"/>
        </w:rPr>
        <w:t xml:space="preserve">ταιρεία αποπληρώνει κανονικά από τα διαθέσιμά της τους τόκους και τις δόσεις των παραπάνω ομολογιακών δανείων, με συνέπεια αυτά να είναι ενήμερα.  </w:t>
      </w:r>
    </w:p>
    <w:p w:rsidR="00C63334" w:rsidRPr="00C63334" w:rsidRDefault="00C63334" w:rsidP="00C63334">
      <w:pPr>
        <w:autoSpaceDE w:val="0"/>
        <w:autoSpaceDN w:val="0"/>
        <w:adjustRightInd w:val="0"/>
        <w:jc w:val="both"/>
        <w:rPr>
          <w:szCs w:val="22"/>
          <w:lang w:val="el-GR"/>
        </w:rPr>
      </w:pPr>
    </w:p>
    <w:p w:rsidR="00C63334" w:rsidRPr="00C63334" w:rsidRDefault="00C63334" w:rsidP="00C63334">
      <w:pPr>
        <w:autoSpaceDE w:val="0"/>
        <w:autoSpaceDN w:val="0"/>
        <w:adjustRightInd w:val="0"/>
        <w:jc w:val="both"/>
        <w:rPr>
          <w:szCs w:val="22"/>
          <w:lang w:val="el-GR"/>
        </w:rPr>
      </w:pPr>
    </w:p>
    <w:p w:rsidR="00C63334" w:rsidRPr="0000418E" w:rsidRDefault="00C63334" w:rsidP="00C63334">
      <w:pPr>
        <w:pStyle w:val="Heading1"/>
        <w:rPr>
          <w:iCs/>
          <w:szCs w:val="22"/>
          <w:lang w:val="el-GR"/>
        </w:rPr>
      </w:pPr>
      <w:r w:rsidRPr="0000418E">
        <w:rPr>
          <w:szCs w:val="22"/>
          <w:lang w:val="el-GR"/>
        </w:rPr>
        <w:t xml:space="preserve"> </w:t>
      </w:r>
      <w:r w:rsidRPr="0000418E">
        <w:rPr>
          <w:iCs/>
          <w:szCs w:val="22"/>
          <w:lang w:val="el-GR"/>
        </w:rPr>
        <w:t>Στοιχεία Κατάστασης αποτελεσμάτων χρήσεως</w:t>
      </w:r>
    </w:p>
    <w:p w:rsidR="00C63334" w:rsidRPr="0000418E" w:rsidRDefault="00C63334" w:rsidP="00C63334">
      <w:pPr>
        <w:autoSpaceDE w:val="0"/>
        <w:autoSpaceDN w:val="0"/>
        <w:adjustRightInd w:val="0"/>
        <w:jc w:val="both"/>
        <w:rPr>
          <w:szCs w:val="22"/>
          <w:lang w:val="el-GR"/>
        </w:rPr>
      </w:pPr>
    </w:p>
    <w:tbl>
      <w:tblPr>
        <w:tblW w:w="8100" w:type="dxa"/>
        <w:tblInd w:w="108" w:type="dxa"/>
        <w:tblBorders>
          <w:top w:val="single" w:sz="4" w:space="0" w:color="auto"/>
        </w:tblBorders>
        <w:tblLook w:val="0000"/>
      </w:tblPr>
      <w:tblGrid>
        <w:gridCol w:w="4320"/>
        <w:gridCol w:w="360"/>
        <w:gridCol w:w="1619"/>
        <w:gridCol w:w="236"/>
        <w:gridCol w:w="1206"/>
        <w:gridCol w:w="359"/>
      </w:tblGrid>
      <w:tr w:rsidR="00C63334" w:rsidRPr="0000418E" w:rsidTr="00025E8C">
        <w:trPr>
          <w:trHeight w:val="340"/>
        </w:trPr>
        <w:tc>
          <w:tcPr>
            <w:tcW w:w="4320" w:type="dxa"/>
            <w:tcBorders>
              <w:top w:val="single" w:sz="4" w:space="0" w:color="auto"/>
            </w:tcBorders>
            <w:noWrap/>
            <w:vAlign w:val="center"/>
          </w:tcPr>
          <w:p w:rsidR="00C63334" w:rsidRPr="0000418E" w:rsidRDefault="00C63334" w:rsidP="00025E8C">
            <w:pPr>
              <w:rPr>
                <w:i/>
                <w:szCs w:val="22"/>
                <w:lang w:val="el-GR"/>
              </w:rPr>
            </w:pPr>
            <w:r w:rsidRPr="0000418E">
              <w:rPr>
                <w:i/>
                <w:szCs w:val="22"/>
                <w:lang w:val="el-GR"/>
              </w:rPr>
              <w:t>Ποσά σε χιλιάδες Ευρώ</w:t>
            </w:r>
          </w:p>
        </w:tc>
        <w:tc>
          <w:tcPr>
            <w:tcW w:w="360" w:type="dxa"/>
            <w:tcBorders>
              <w:top w:val="single" w:sz="4" w:space="0" w:color="auto"/>
            </w:tcBorders>
            <w:noWrap/>
            <w:vAlign w:val="center"/>
          </w:tcPr>
          <w:p w:rsidR="00C63334" w:rsidRPr="0000418E" w:rsidRDefault="00C63334" w:rsidP="00025E8C">
            <w:pPr>
              <w:rPr>
                <w:szCs w:val="22"/>
                <w:lang w:val="el-GR"/>
              </w:rPr>
            </w:pPr>
          </w:p>
        </w:tc>
        <w:tc>
          <w:tcPr>
            <w:tcW w:w="1619" w:type="dxa"/>
            <w:tcBorders>
              <w:top w:val="single" w:sz="4" w:space="0" w:color="auto"/>
            </w:tcBorders>
            <w:vAlign w:val="center"/>
          </w:tcPr>
          <w:p w:rsidR="00C63334" w:rsidRPr="0000418E" w:rsidRDefault="00C63334" w:rsidP="00025E8C">
            <w:pPr>
              <w:jc w:val="center"/>
              <w:rPr>
                <w:b/>
                <w:szCs w:val="22"/>
                <w:lang w:val="el-GR"/>
              </w:rPr>
            </w:pPr>
          </w:p>
        </w:tc>
        <w:tc>
          <w:tcPr>
            <w:tcW w:w="236" w:type="dxa"/>
            <w:tcBorders>
              <w:top w:val="single" w:sz="4" w:space="0" w:color="auto"/>
            </w:tcBorders>
          </w:tcPr>
          <w:p w:rsidR="00C63334" w:rsidRPr="0000418E" w:rsidRDefault="00C63334" w:rsidP="00025E8C">
            <w:pPr>
              <w:jc w:val="center"/>
              <w:rPr>
                <w:szCs w:val="22"/>
                <w:lang w:val="el-GR"/>
              </w:rPr>
            </w:pPr>
          </w:p>
        </w:tc>
        <w:tc>
          <w:tcPr>
            <w:tcW w:w="1206" w:type="dxa"/>
            <w:tcBorders>
              <w:top w:val="single" w:sz="4" w:space="0" w:color="auto"/>
            </w:tcBorders>
            <w:noWrap/>
            <w:vAlign w:val="center"/>
          </w:tcPr>
          <w:p w:rsidR="00C63334" w:rsidRPr="0000418E" w:rsidRDefault="00C63334" w:rsidP="00025E8C">
            <w:pPr>
              <w:jc w:val="center"/>
              <w:rPr>
                <w:b/>
                <w:szCs w:val="22"/>
                <w:lang w:val="el-GR"/>
              </w:rPr>
            </w:pPr>
          </w:p>
        </w:tc>
        <w:tc>
          <w:tcPr>
            <w:tcW w:w="359" w:type="dxa"/>
            <w:tcBorders>
              <w:top w:val="single" w:sz="4" w:space="0" w:color="auto"/>
            </w:tcBorders>
            <w:vAlign w:val="center"/>
          </w:tcPr>
          <w:p w:rsidR="00C63334" w:rsidRPr="0000418E" w:rsidRDefault="00C63334" w:rsidP="00025E8C">
            <w:pPr>
              <w:jc w:val="center"/>
              <w:rPr>
                <w:szCs w:val="22"/>
                <w:lang w:val="el-GR"/>
              </w:rPr>
            </w:pPr>
          </w:p>
        </w:tc>
      </w:tr>
      <w:tr w:rsidR="00C63334" w:rsidRPr="0000418E" w:rsidTr="00025E8C">
        <w:trPr>
          <w:trHeight w:val="340"/>
        </w:trPr>
        <w:tc>
          <w:tcPr>
            <w:tcW w:w="4320" w:type="dxa"/>
            <w:noWrap/>
            <w:vAlign w:val="center"/>
          </w:tcPr>
          <w:p w:rsidR="00C63334" w:rsidRPr="0000418E" w:rsidRDefault="00C63334" w:rsidP="00025E8C">
            <w:pPr>
              <w:rPr>
                <w:szCs w:val="22"/>
                <w:lang w:val="el-GR"/>
              </w:rPr>
            </w:pPr>
          </w:p>
        </w:tc>
        <w:tc>
          <w:tcPr>
            <w:tcW w:w="360" w:type="dxa"/>
            <w:noWrap/>
            <w:vAlign w:val="center"/>
          </w:tcPr>
          <w:p w:rsidR="00C63334" w:rsidRPr="0000418E" w:rsidRDefault="00C63334" w:rsidP="00025E8C">
            <w:pPr>
              <w:jc w:val="center"/>
              <w:rPr>
                <w:szCs w:val="22"/>
                <w:lang w:val="el-GR"/>
              </w:rPr>
            </w:pPr>
          </w:p>
        </w:tc>
        <w:tc>
          <w:tcPr>
            <w:tcW w:w="1619" w:type="dxa"/>
            <w:tcBorders>
              <w:bottom w:val="nil"/>
            </w:tcBorders>
            <w:vAlign w:val="center"/>
          </w:tcPr>
          <w:p w:rsidR="00C63334" w:rsidRPr="0000418E" w:rsidRDefault="00C63334" w:rsidP="00025E8C">
            <w:pPr>
              <w:jc w:val="center"/>
              <w:rPr>
                <w:b/>
                <w:szCs w:val="22"/>
                <w:lang w:val="el-GR"/>
              </w:rPr>
            </w:pPr>
            <w:r w:rsidRPr="0000418E">
              <w:rPr>
                <w:b/>
                <w:szCs w:val="22"/>
                <w:lang w:val="el-GR"/>
              </w:rPr>
              <w:t>31.12.2012</w:t>
            </w:r>
          </w:p>
        </w:tc>
        <w:tc>
          <w:tcPr>
            <w:tcW w:w="236" w:type="dxa"/>
            <w:tcBorders>
              <w:bottom w:val="nil"/>
            </w:tcBorders>
          </w:tcPr>
          <w:p w:rsidR="00C63334" w:rsidRPr="0000418E" w:rsidRDefault="00C63334" w:rsidP="00025E8C">
            <w:pPr>
              <w:jc w:val="center"/>
              <w:rPr>
                <w:szCs w:val="22"/>
                <w:lang w:val="el-GR"/>
              </w:rPr>
            </w:pPr>
          </w:p>
        </w:tc>
        <w:tc>
          <w:tcPr>
            <w:tcW w:w="1206" w:type="dxa"/>
            <w:tcBorders>
              <w:bottom w:val="nil"/>
            </w:tcBorders>
            <w:noWrap/>
            <w:vAlign w:val="center"/>
          </w:tcPr>
          <w:p w:rsidR="00C63334" w:rsidRPr="0000418E" w:rsidRDefault="00C63334" w:rsidP="00025E8C">
            <w:pPr>
              <w:jc w:val="center"/>
              <w:rPr>
                <w:b/>
                <w:szCs w:val="22"/>
                <w:lang w:val="el-GR"/>
              </w:rPr>
            </w:pPr>
            <w:r w:rsidRPr="0000418E">
              <w:rPr>
                <w:b/>
                <w:szCs w:val="22"/>
                <w:lang w:val="el-GR"/>
              </w:rPr>
              <w:t>31.12.2011</w:t>
            </w:r>
          </w:p>
        </w:tc>
        <w:tc>
          <w:tcPr>
            <w:tcW w:w="359" w:type="dxa"/>
            <w:vAlign w:val="center"/>
          </w:tcPr>
          <w:p w:rsidR="00C63334" w:rsidRPr="0000418E" w:rsidRDefault="00C63334" w:rsidP="00025E8C">
            <w:pPr>
              <w:jc w:val="center"/>
              <w:rPr>
                <w:szCs w:val="22"/>
                <w:lang w:val="el-GR"/>
              </w:rPr>
            </w:pPr>
          </w:p>
        </w:tc>
      </w:tr>
      <w:tr w:rsidR="00C63334" w:rsidRPr="0000418E" w:rsidTr="00025E8C">
        <w:trPr>
          <w:trHeight w:val="340"/>
        </w:trPr>
        <w:tc>
          <w:tcPr>
            <w:tcW w:w="4320" w:type="dxa"/>
            <w:noWrap/>
            <w:vAlign w:val="center"/>
          </w:tcPr>
          <w:p w:rsidR="00C63334" w:rsidRPr="0000418E" w:rsidRDefault="00C63334" w:rsidP="00025E8C">
            <w:pPr>
              <w:jc w:val="both"/>
              <w:rPr>
                <w:szCs w:val="22"/>
                <w:lang w:val="el-GR"/>
              </w:rPr>
            </w:pPr>
            <w:r w:rsidRPr="0000418E">
              <w:rPr>
                <w:szCs w:val="22"/>
                <w:lang w:val="el-GR"/>
              </w:rPr>
              <w:t>Καθαρά έσοδα από τόκους</w:t>
            </w:r>
          </w:p>
        </w:tc>
        <w:tc>
          <w:tcPr>
            <w:tcW w:w="360" w:type="dxa"/>
            <w:noWrap/>
            <w:vAlign w:val="center"/>
          </w:tcPr>
          <w:p w:rsidR="00C63334" w:rsidRPr="0000418E" w:rsidRDefault="00C63334" w:rsidP="00025E8C">
            <w:pPr>
              <w:jc w:val="center"/>
              <w:rPr>
                <w:szCs w:val="22"/>
                <w:lang w:val="el-GR"/>
              </w:rPr>
            </w:pPr>
          </w:p>
        </w:tc>
        <w:tc>
          <w:tcPr>
            <w:tcW w:w="1619" w:type="dxa"/>
            <w:tcBorders>
              <w:top w:val="nil"/>
              <w:bottom w:val="nil"/>
            </w:tcBorders>
            <w:vAlign w:val="center"/>
          </w:tcPr>
          <w:p w:rsidR="00C63334" w:rsidRPr="0000418E" w:rsidRDefault="00C63334" w:rsidP="00025E8C">
            <w:pPr>
              <w:jc w:val="right"/>
              <w:rPr>
                <w:szCs w:val="22"/>
                <w:lang w:val="el-GR"/>
              </w:rPr>
            </w:pPr>
            <w:r w:rsidRPr="0000418E">
              <w:rPr>
                <w:szCs w:val="22"/>
              </w:rPr>
              <w:t>2</w:t>
            </w:r>
            <w:r w:rsidRPr="0000418E">
              <w:rPr>
                <w:szCs w:val="22"/>
                <w:lang w:val="el-GR"/>
              </w:rPr>
              <w:t>.</w:t>
            </w:r>
            <w:r w:rsidRPr="0000418E">
              <w:rPr>
                <w:szCs w:val="22"/>
              </w:rPr>
              <w:t>110</w:t>
            </w:r>
          </w:p>
        </w:tc>
        <w:tc>
          <w:tcPr>
            <w:tcW w:w="236" w:type="dxa"/>
            <w:tcBorders>
              <w:top w:val="nil"/>
              <w:bottom w:val="nil"/>
            </w:tcBorders>
          </w:tcPr>
          <w:p w:rsidR="00C63334" w:rsidRPr="0000418E" w:rsidRDefault="00C63334" w:rsidP="00025E8C">
            <w:pPr>
              <w:jc w:val="right"/>
              <w:rPr>
                <w:szCs w:val="22"/>
                <w:lang w:val="el-GR"/>
              </w:rPr>
            </w:pPr>
          </w:p>
        </w:tc>
        <w:tc>
          <w:tcPr>
            <w:tcW w:w="1206" w:type="dxa"/>
            <w:tcBorders>
              <w:top w:val="nil"/>
              <w:bottom w:val="nil"/>
            </w:tcBorders>
            <w:noWrap/>
            <w:vAlign w:val="center"/>
          </w:tcPr>
          <w:p w:rsidR="00C63334" w:rsidRPr="0000418E" w:rsidRDefault="00C63334" w:rsidP="00025E8C">
            <w:pPr>
              <w:jc w:val="right"/>
              <w:rPr>
                <w:szCs w:val="22"/>
                <w:lang w:val="el-GR"/>
              </w:rPr>
            </w:pPr>
            <w:r w:rsidRPr="0000418E">
              <w:rPr>
                <w:szCs w:val="22"/>
                <w:lang w:val="el-GR"/>
              </w:rPr>
              <w:t>1.722</w:t>
            </w:r>
          </w:p>
        </w:tc>
        <w:tc>
          <w:tcPr>
            <w:tcW w:w="359" w:type="dxa"/>
            <w:vAlign w:val="center"/>
          </w:tcPr>
          <w:p w:rsidR="00C63334" w:rsidRPr="0000418E" w:rsidRDefault="00C63334" w:rsidP="00025E8C">
            <w:pPr>
              <w:jc w:val="right"/>
              <w:rPr>
                <w:szCs w:val="22"/>
                <w:lang w:val="el-GR"/>
              </w:rPr>
            </w:pPr>
          </w:p>
        </w:tc>
      </w:tr>
      <w:tr w:rsidR="00C63334" w:rsidRPr="0000418E" w:rsidTr="00025E8C">
        <w:trPr>
          <w:trHeight w:val="340"/>
        </w:trPr>
        <w:tc>
          <w:tcPr>
            <w:tcW w:w="4320" w:type="dxa"/>
            <w:noWrap/>
            <w:vAlign w:val="center"/>
          </w:tcPr>
          <w:p w:rsidR="00C63334" w:rsidRPr="0000418E" w:rsidRDefault="00C63334" w:rsidP="00025E8C">
            <w:pPr>
              <w:jc w:val="both"/>
              <w:rPr>
                <w:szCs w:val="22"/>
                <w:lang w:val="el-GR"/>
              </w:rPr>
            </w:pPr>
            <w:r w:rsidRPr="0000418E">
              <w:rPr>
                <w:szCs w:val="22"/>
                <w:lang w:val="el-GR"/>
              </w:rPr>
              <w:t>Λοιπά έσοδα</w:t>
            </w:r>
          </w:p>
        </w:tc>
        <w:tc>
          <w:tcPr>
            <w:tcW w:w="360" w:type="dxa"/>
            <w:noWrap/>
            <w:vAlign w:val="center"/>
          </w:tcPr>
          <w:p w:rsidR="00C63334" w:rsidRPr="0000418E" w:rsidRDefault="00C63334" w:rsidP="00025E8C">
            <w:pPr>
              <w:jc w:val="center"/>
              <w:rPr>
                <w:szCs w:val="22"/>
                <w:lang w:val="el-GR"/>
              </w:rPr>
            </w:pPr>
          </w:p>
        </w:tc>
        <w:tc>
          <w:tcPr>
            <w:tcW w:w="1619" w:type="dxa"/>
            <w:tcBorders>
              <w:top w:val="nil"/>
              <w:bottom w:val="nil"/>
            </w:tcBorders>
            <w:vAlign w:val="center"/>
          </w:tcPr>
          <w:p w:rsidR="00C63334" w:rsidRPr="0000418E" w:rsidRDefault="00C63334" w:rsidP="00025E8C">
            <w:pPr>
              <w:jc w:val="right"/>
              <w:rPr>
                <w:szCs w:val="22"/>
                <w:lang w:val="el-GR"/>
              </w:rPr>
            </w:pPr>
            <w:r w:rsidRPr="0000418E">
              <w:rPr>
                <w:szCs w:val="22"/>
              </w:rPr>
              <w:t>1.287</w:t>
            </w:r>
          </w:p>
        </w:tc>
        <w:tc>
          <w:tcPr>
            <w:tcW w:w="236" w:type="dxa"/>
            <w:tcBorders>
              <w:top w:val="nil"/>
              <w:bottom w:val="nil"/>
            </w:tcBorders>
          </w:tcPr>
          <w:p w:rsidR="00C63334" w:rsidRPr="0000418E" w:rsidRDefault="00C63334" w:rsidP="00025E8C">
            <w:pPr>
              <w:jc w:val="right"/>
              <w:rPr>
                <w:szCs w:val="22"/>
                <w:lang w:val="el-GR"/>
              </w:rPr>
            </w:pPr>
          </w:p>
        </w:tc>
        <w:tc>
          <w:tcPr>
            <w:tcW w:w="1206" w:type="dxa"/>
            <w:tcBorders>
              <w:top w:val="nil"/>
              <w:bottom w:val="nil"/>
            </w:tcBorders>
            <w:noWrap/>
            <w:vAlign w:val="center"/>
          </w:tcPr>
          <w:p w:rsidR="00C63334" w:rsidRPr="0000418E" w:rsidRDefault="00C63334" w:rsidP="00025E8C">
            <w:pPr>
              <w:jc w:val="right"/>
              <w:rPr>
                <w:szCs w:val="22"/>
                <w:lang w:val="el-GR"/>
              </w:rPr>
            </w:pPr>
            <w:r w:rsidRPr="0000418E">
              <w:rPr>
                <w:szCs w:val="22"/>
              </w:rPr>
              <w:t>574</w:t>
            </w:r>
          </w:p>
        </w:tc>
        <w:tc>
          <w:tcPr>
            <w:tcW w:w="359" w:type="dxa"/>
            <w:vAlign w:val="center"/>
          </w:tcPr>
          <w:p w:rsidR="00C63334" w:rsidRPr="0000418E" w:rsidRDefault="00C63334" w:rsidP="00025E8C">
            <w:pPr>
              <w:jc w:val="right"/>
              <w:rPr>
                <w:szCs w:val="22"/>
                <w:lang w:val="el-GR"/>
              </w:rPr>
            </w:pPr>
          </w:p>
        </w:tc>
      </w:tr>
      <w:tr w:rsidR="00C63334" w:rsidRPr="0000418E" w:rsidTr="00025E8C">
        <w:trPr>
          <w:trHeight w:val="340"/>
        </w:trPr>
        <w:tc>
          <w:tcPr>
            <w:tcW w:w="4320" w:type="dxa"/>
            <w:noWrap/>
            <w:vAlign w:val="center"/>
          </w:tcPr>
          <w:p w:rsidR="00C63334" w:rsidRPr="0000418E" w:rsidRDefault="00C63334" w:rsidP="00025E8C">
            <w:pPr>
              <w:jc w:val="both"/>
              <w:rPr>
                <w:szCs w:val="22"/>
                <w:lang w:val="el-GR"/>
              </w:rPr>
            </w:pPr>
            <w:r w:rsidRPr="0000418E">
              <w:rPr>
                <w:szCs w:val="22"/>
                <w:lang w:val="el-GR"/>
              </w:rPr>
              <w:t>Έσοδα από αμοιβές και προμήθειες</w:t>
            </w:r>
          </w:p>
        </w:tc>
        <w:tc>
          <w:tcPr>
            <w:tcW w:w="360" w:type="dxa"/>
            <w:noWrap/>
            <w:vAlign w:val="center"/>
          </w:tcPr>
          <w:p w:rsidR="00C63334" w:rsidRPr="0000418E" w:rsidRDefault="00C63334" w:rsidP="00025E8C">
            <w:pPr>
              <w:jc w:val="center"/>
              <w:rPr>
                <w:szCs w:val="22"/>
                <w:lang w:val="el-GR"/>
              </w:rPr>
            </w:pPr>
          </w:p>
        </w:tc>
        <w:tc>
          <w:tcPr>
            <w:tcW w:w="1619" w:type="dxa"/>
            <w:tcBorders>
              <w:top w:val="nil"/>
              <w:bottom w:val="nil"/>
            </w:tcBorders>
            <w:vAlign w:val="center"/>
          </w:tcPr>
          <w:p w:rsidR="00C63334" w:rsidRPr="0000418E" w:rsidRDefault="00C63334" w:rsidP="00025E8C">
            <w:pPr>
              <w:jc w:val="right"/>
              <w:rPr>
                <w:szCs w:val="22"/>
                <w:lang w:val="el-GR"/>
              </w:rPr>
            </w:pPr>
            <w:r w:rsidRPr="0000418E">
              <w:rPr>
                <w:szCs w:val="22"/>
              </w:rPr>
              <w:t>2</w:t>
            </w:r>
            <w:r w:rsidRPr="0000418E">
              <w:rPr>
                <w:szCs w:val="22"/>
                <w:lang w:val="el-GR"/>
              </w:rPr>
              <w:t>.</w:t>
            </w:r>
            <w:r w:rsidRPr="0000418E">
              <w:rPr>
                <w:szCs w:val="22"/>
              </w:rPr>
              <w:t>324</w:t>
            </w:r>
          </w:p>
        </w:tc>
        <w:tc>
          <w:tcPr>
            <w:tcW w:w="236" w:type="dxa"/>
            <w:tcBorders>
              <w:top w:val="nil"/>
              <w:bottom w:val="nil"/>
            </w:tcBorders>
          </w:tcPr>
          <w:p w:rsidR="00C63334" w:rsidRPr="0000418E" w:rsidRDefault="00C63334" w:rsidP="00025E8C">
            <w:pPr>
              <w:jc w:val="right"/>
              <w:rPr>
                <w:szCs w:val="22"/>
                <w:lang w:val="el-GR"/>
              </w:rPr>
            </w:pPr>
          </w:p>
        </w:tc>
        <w:tc>
          <w:tcPr>
            <w:tcW w:w="1206" w:type="dxa"/>
            <w:tcBorders>
              <w:top w:val="nil"/>
              <w:bottom w:val="nil"/>
            </w:tcBorders>
            <w:noWrap/>
            <w:vAlign w:val="center"/>
          </w:tcPr>
          <w:p w:rsidR="00C63334" w:rsidRPr="0000418E" w:rsidRDefault="00C63334" w:rsidP="00025E8C">
            <w:pPr>
              <w:jc w:val="right"/>
              <w:rPr>
                <w:szCs w:val="22"/>
                <w:lang w:val="el-GR"/>
              </w:rPr>
            </w:pPr>
            <w:r w:rsidRPr="0000418E">
              <w:rPr>
                <w:szCs w:val="22"/>
                <w:lang w:val="el-GR"/>
              </w:rPr>
              <w:t>3.609</w:t>
            </w:r>
          </w:p>
        </w:tc>
        <w:tc>
          <w:tcPr>
            <w:tcW w:w="359" w:type="dxa"/>
            <w:vAlign w:val="center"/>
          </w:tcPr>
          <w:p w:rsidR="00C63334" w:rsidRPr="0000418E" w:rsidRDefault="00C63334" w:rsidP="00025E8C">
            <w:pPr>
              <w:jc w:val="right"/>
              <w:rPr>
                <w:szCs w:val="22"/>
                <w:lang w:val="el-GR"/>
              </w:rPr>
            </w:pPr>
          </w:p>
        </w:tc>
      </w:tr>
      <w:tr w:rsidR="00C63334" w:rsidRPr="0000418E" w:rsidTr="00025E8C">
        <w:trPr>
          <w:trHeight w:val="340"/>
        </w:trPr>
        <w:tc>
          <w:tcPr>
            <w:tcW w:w="4320" w:type="dxa"/>
            <w:noWrap/>
            <w:vAlign w:val="center"/>
          </w:tcPr>
          <w:p w:rsidR="00C63334" w:rsidRPr="0000418E" w:rsidRDefault="00C63334" w:rsidP="00025E8C">
            <w:pPr>
              <w:jc w:val="both"/>
              <w:rPr>
                <w:szCs w:val="22"/>
                <w:lang w:val="el-GR"/>
              </w:rPr>
            </w:pPr>
            <w:r w:rsidRPr="0000418E">
              <w:rPr>
                <w:b/>
                <w:szCs w:val="22"/>
                <w:lang w:val="el-GR"/>
              </w:rPr>
              <w:t>Σύνολο Εσόδων</w:t>
            </w:r>
          </w:p>
        </w:tc>
        <w:tc>
          <w:tcPr>
            <w:tcW w:w="360" w:type="dxa"/>
            <w:noWrap/>
            <w:vAlign w:val="center"/>
          </w:tcPr>
          <w:p w:rsidR="00C63334" w:rsidRPr="0000418E" w:rsidRDefault="00C63334" w:rsidP="00025E8C">
            <w:pPr>
              <w:jc w:val="center"/>
              <w:rPr>
                <w:szCs w:val="22"/>
                <w:lang w:val="el-GR"/>
              </w:rPr>
            </w:pPr>
          </w:p>
        </w:tc>
        <w:tc>
          <w:tcPr>
            <w:tcW w:w="1619" w:type="dxa"/>
            <w:tcBorders>
              <w:top w:val="nil"/>
              <w:bottom w:val="nil"/>
            </w:tcBorders>
            <w:vAlign w:val="center"/>
          </w:tcPr>
          <w:p w:rsidR="00C63334" w:rsidRPr="0000418E" w:rsidRDefault="00C63334" w:rsidP="00025E8C">
            <w:pPr>
              <w:jc w:val="right"/>
              <w:rPr>
                <w:b/>
                <w:szCs w:val="22"/>
                <w:lang w:val="el-GR"/>
              </w:rPr>
            </w:pPr>
            <w:r w:rsidRPr="0000418E">
              <w:rPr>
                <w:b/>
                <w:szCs w:val="22"/>
                <w:lang w:val="el-GR"/>
              </w:rPr>
              <w:t>5.721</w:t>
            </w:r>
          </w:p>
        </w:tc>
        <w:tc>
          <w:tcPr>
            <w:tcW w:w="236" w:type="dxa"/>
            <w:tcBorders>
              <w:top w:val="nil"/>
              <w:bottom w:val="nil"/>
            </w:tcBorders>
          </w:tcPr>
          <w:p w:rsidR="00C63334" w:rsidRPr="0000418E" w:rsidRDefault="00C63334" w:rsidP="00025E8C">
            <w:pPr>
              <w:jc w:val="right"/>
              <w:rPr>
                <w:szCs w:val="22"/>
                <w:lang w:val="el-GR"/>
              </w:rPr>
            </w:pPr>
          </w:p>
        </w:tc>
        <w:tc>
          <w:tcPr>
            <w:tcW w:w="1206" w:type="dxa"/>
            <w:tcBorders>
              <w:top w:val="nil"/>
              <w:bottom w:val="nil"/>
            </w:tcBorders>
            <w:noWrap/>
            <w:vAlign w:val="center"/>
          </w:tcPr>
          <w:p w:rsidR="00C63334" w:rsidRPr="0000418E" w:rsidRDefault="00C63334" w:rsidP="00025E8C">
            <w:pPr>
              <w:jc w:val="right"/>
              <w:rPr>
                <w:b/>
                <w:szCs w:val="22"/>
                <w:lang w:val="el-GR"/>
              </w:rPr>
            </w:pPr>
            <w:r w:rsidRPr="0000418E">
              <w:rPr>
                <w:b/>
                <w:szCs w:val="22"/>
                <w:lang w:val="el-GR"/>
              </w:rPr>
              <w:t>5.905</w:t>
            </w:r>
          </w:p>
        </w:tc>
        <w:tc>
          <w:tcPr>
            <w:tcW w:w="359" w:type="dxa"/>
            <w:vAlign w:val="center"/>
          </w:tcPr>
          <w:p w:rsidR="00C63334" w:rsidRPr="0000418E" w:rsidRDefault="00C63334" w:rsidP="00025E8C">
            <w:pPr>
              <w:jc w:val="right"/>
              <w:rPr>
                <w:szCs w:val="22"/>
                <w:lang w:val="el-GR"/>
              </w:rPr>
            </w:pPr>
          </w:p>
        </w:tc>
      </w:tr>
      <w:tr w:rsidR="00C63334" w:rsidRPr="0000418E" w:rsidTr="00025E8C">
        <w:trPr>
          <w:trHeight w:val="340"/>
        </w:trPr>
        <w:tc>
          <w:tcPr>
            <w:tcW w:w="4320" w:type="dxa"/>
            <w:noWrap/>
            <w:vAlign w:val="center"/>
          </w:tcPr>
          <w:p w:rsidR="00C63334" w:rsidRPr="0000418E" w:rsidRDefault="00C63334" w:rsidP="00025E8C">
            <w:pPr>
              <w:jc w:val="both"/>
              <w:rPr>
                <w:szCs w:val="22"/>
                <w:lang w:val="el-GR"/>
              </w:rPr>
            </w:pPr>
            <w:r w:rsidRPr="0000418E">
              <w:rPr>
                <w:szCs w:val="22"/>
                <w:lang w:val="el-GR"/>
              </w:rPr>
              <w:t>Ζημιές απομείωσης απαιτήσεων</w:t>
            </w:r>
          </w:p>
        </w:tc>
        <w:tc>
          <w:tcPr>
            <w:tcW w:w="360" w:type="dxa"/>
            <w:noWrap/>
            <w:vAlign w:val="center"/>
          </w:tcPr>
          <w:p w:rsidR="00C63334" w:rsidRPr="0000418E" w:rsidRDefault="00C63334" w:rsidP="00025E8C">
            <w:pPr>
              <w:jc w:val="center"/>
              <w:rPr>
                <w:szCs w:val="22"/>
                <w:lang w:val="el-GR"/>
              </w:rPr>
            </w:pPr>
          </w:p>
        </w:tc>
        <w:tc>
          <w:tcPr>
            <w:tcW w:w="1619" w:type="dxa"/>
            <w:tcBorders>
              <w:top w:val="single" w:sz="4" w:space="0" w:color="auto"/>
              <w:bottom w:val="nil"/>
            </w:tcBorders>
            <w:vAlign w:val="center"/>
          </w:tcPr>
          <w:p w:rsidR="00C63334" w:rsidRPr="0000418E" w:rsidRDefault="00C63334" w:rsidP="00025E8C">
            <w:pPr>
              <w:jc w:val="right"/>
              <w:rPr>
                <w:szCs w:val="22"/>
                <w:lang w:val="el-GR"/>
              </w:rPr>
            </w:pPr>
            <w:r w:rsidRPr="0000418E">
              <w:rPr>
                <w:szCs w:val="22"/>
              </w:rPr>
              <w:t>(3</w:t>
            </w:r>
            <w:r w:rsidRPr="0000418E">
              <w:rPr>
                <w:szCs w:val="22"/>
                <w:lang w:val="el-GR"/>
              </w:rPr>
              <w:t>6</w:t>
            </w:r>
            <w:r w:rsidRPr="0000418E">
              <w:rPr>
                <w:szCs w:val="22"/>
              </w:rPr>
              <w:t>.</w:t>
            </w:r>
            <w:r w:rsidRPr="0000418E">
              <w:rPr>
                <w:szCs w:val="22"/>
                <w:lang w:val="el-GR"/>
              </w:rPr>
              <w:t>968</w:t>
            </w:r>
            <w:r w:rsidRPr="0000418E">
              <w:rPr>
                <w:szCs w:val="22"/>
              </w:rPr>
              <w:t>)</w:t>
            </w:r>
          </w:p>
        </w:tc>
        <w:tc>
          <w:tcPr>
            <w:tcW w:w="236" w:type="dxa"/>
            <w:tcBorders>
              <w:top w:val="single" w:sz="4" w:space="0" w:color="auto"/>
              <w:bottom w:val="nil"/>
            </w:tcBorders>
          </w:tcPr>
          <w:p w:rsidR="00C63334" w:rsidRPr="0000418E" w:rsidRDefault="00C63334" w:rsidP="00025E8C">
            <w:pPr>
              <w:jc w:val="right"/>
              <w:rPr>
                <w:szCs w:val="22"/>
                <w:lang w:val="el-GR"/>
              </w:rPr>
            </w:pPr>
          </w:p>
        </w:tc>
        <w:tc>
          <w:tcPr>
            <w:tcW w:w="1206" w:type="dxa"/>
            <w:tcBorders>
              <w:top w:val="single" w:sz="4" w:space="0" w:color="auto"/>
              <w:bottom w:val="nil"/>
            </w:tcBorders>
            <w:noWrap/>
            <w:vAlign w:val="center"/>
          </w:tcPr>
          <w:p w:rsidR="00C63334" w:rsidRPr="0000418E" w:rsidRDefault="00C63334" w:rsidP="00025E8C">
            <w:pPr>
              <w:jc w:val="right"/>
              <w:rPr>
                <w:szCs w:val="22"/>
                <w:lang w:val="el-GR"/>
              </w:rPr>
            </w:pPr>
            <w:r w:rsidRPr="0000418E">
              <w:rPr>
                <w:szCs w:val="22"/>
              </w:rPr>
              <w:t>(63.491)</w:t>
            </w:r>
          </w:p>
        </w:tc>
        <w:tc>
          <w:tcPr>
            <w:tcW w:w="359" w:type="dxa"/>
            <w:vAlign w:val="center"/>
          </w:tcPr>
          <w:p w:rsidR="00C63334" w:rsidRPr="0000418E" w:rsidRDefault="00C63334" w:rsidP="00025E8C">
            <w:pPr>
              <w:jc w:val="right"/>
              <w:rPr>
                <w:szCs w:val="22"/>
                <w:lang w:val="el-GR"/>
              </w:rPr>
            </w:pPr>
          </w:p>
        </w:tc>
      </w:tr>
      <w:tr w:rsidR="00C63334" w:rsidRPr="0000418E" w:rsidTr="00025E8C">
        <w:trPr>
          <w:trHeight w:val="340"/>
        </w:trPr>
        <w:tc>
          <w:tcPr>
            <w:tcW w:w="4320" w:type="dxa"/>
            <w:noWrap/>
            <w:vAlign w:val="center"/>
          </w:tcPr>
          <w:p w:rsidR="00C63334" w:rsidRPr="0000418E" w:rsidRDefault="00C63334" w:rsidP="00025E8C">
            <w:pPr>
              <w:jc w:val="both"/>
              <w:rPr>
                <w:szCs w:val="22"/>
                <w:lang w:val="el-GR"/>
              </w:rPr>
            </w:pPr>
            <w:r w:rsidRPr="0000418E">
              <w:rPr>
                <w:szCs w:val="22"/>
                <w:lang w:val="el-GR"/>
              </w:rPr>
              <w:t>Ζημίες απομείωσης επενδυτικών ακινήτων</w:t>
            </w:r>
          </w:p>
        </w:tc>
        <w:tc>
          <w:tcPr>
            <w:tcW w:w="360" w:type="dxa"/>
            <w:noWrap/>
            <w:vAlign w:val="center"/>
          </w:tcPr>
          <w:p w:rsidR="00C63334" w:rsidRPr="0000418E" w:rsidRDefault="00C63334" w:rsidP="00025E8C">
            <w:pPr>
              <w:jc w:val="center"/>
              <w:rPr>
                <w:szCs w:val="22"/>
                <w:lang w:val="el-GR"/>
              </w:rPr>
            </w:pPr>
          </w:p>
        </w:tc>
        <w:tc>
          <w:tcPr>
            <w:tcW w:w="1619" w:type="dxa"/>
            <w:tcBorders>
              <w:top w:val="nil"/>
              <w:bottom w:val="nil"/>
            </w:tcBorders>
            <w:vAlign w:val="center"/>
          </w:tcPr>
          <w:p w:rsidR="00C63334" w:rsidRPr="0000418E" w:rsidRDefault="00C63334" w:rsidP="00025E8C">
            <w:pPr>
              <w:jc w:val="right"/>
              <w:rPr>
                <w:szCs w:val="22"/>
                <w:lang w:val="el-GR"/>
              </w:rPr>
            </w:pPr>
            <w:r w:rsidRPr="0000418E">
              <w:rPr>
                <w:szCs w:val="22"/>
                <w:lang w:val="el-GR"/>
              </w:rPr>
              <w:t>(20.309)</w:t>
            </w:r>
          </w:p>
        </w:tc>
        <w:tc>
          <w:tcPr>
            <w:tcW w:w="236" w:type="dxa"/>
            <w:tcBorders>
              <w:top w:val="nil"/>
              <w:bottom w:val="nil"/>
            </w:tcBorders>
          </w:tcPr>
          <w:p w:rsidR="00C63334" w:rsidRPr="0000418E" w:rsidRDefault="00C63334" w:rsidP="00025E8C">
            <w:pPr>
              <w:jc w:val="right"/>
              <w:rPr>
                <w:szCs w:val="22"/>
                <w:lang w:val="el-GR"/>
              </w:rPr>
            </w:pPr>
          </w:p>
        </w:tc>
        <w:tc>
          <w:tcPr>
            <w:tcW w:w="1206" w:type="dxa"/>
            <w:tcBorders>
              <w:top w:val="nil"/>
              <w:bottom w:val="nil"/>
            </w:tcBorders>
            <w:noWrap/>
            <w:vAlign w:val="center"/>
          </w:tcPr>
          <w:p w:rsidR="00C63334" w:rsidRPr="0000418E" w:rsidRDefault="00C63334" w:rsidP="00025E8C">
            <w:pPr>
              <w:jc w:val="right"/>
              <w:rPr>
                <w:szCs w:val="22"/>
                <w:lang w:val="el-GR"/>
              </w:rPr>
            </w:pPr>
            <w:r w:rsidRPr="0000418E">
              <w:rPr>
                <w:szCs w:val="22"/>
                <w:lang w:val="el-GR"/>
              </w:rPr>
              <w:t>-</w:t>
            </w:r>
          </w:p>
        </w:tc>
        <w:tc>
          <w:tcPr>
            <w:tcW w:w="359" w:type="dxa"/>
            <w:vAlign w:val="center"/>
          </w:tcPr>
          <w:p w:rsidR="00C63334" w:rsidRPr="0000418E" w:rsidRDefault="00C63334" w:rsidP="00025E8C">
            <w:pPr>
              <w:jc w:val="right"/>
              <w:rPr>
                <w:szCs w:val="22"/>
                <w:lang w:val="el-GR"/>
              </w:rPr>
            </w:pPr>
          </w:p>
        </w:tc>
      </w:tr>
      <w:tr w:rsidR="00C63334" w:rsidRPr="0000418E" w:rsidTr="00025E8C">
        <w:trPr>
          <w:trHeight w:val="340"/>
        </w:trPr>
        <w:tc>
          <w:tcPr>
            <w:tcW w:w="4320" w:type="dxa"/>
            <w:noWrap/>
            <w:vAlign w:val="center"/>
          </w:tcPr>
          <w:p w:rsidR="00C63334" w:rsidRPr="0000418E" w:rsidRDefault="00C63334" w:rsidP="00025E8C">
            <w:pPr>
              <w:jc w:val="both"/>
              <w:rPr>
                <w:szCs w:val="22"/>
                <w:lang w:val="el-GR"/>
              </w:rPr>
            </w:pPr>
            <w:r w:rsidRPr="0000418E">
              <w:rPr>
                <w:szCs w:val="22"/>
                <w:lang w:val="el-GR"/>
              </w:rPr>
              <w:t>Γενικά και διοικητικά έξοδα</w:t>
            </w:r>
          </w:p>
        </w:tc>
        <w:tc>
          <w:tcPr>
            <w:tcW w:w="360" w:type="dxa"/>
            <w:noWrap/>
            <w:vAlign w:val="center"/>
          </w:tcPr>
          <w:p w:rsidR="00C63334" w:rsidRPr="0000418E" w:rsidRDefault="00C63334" w:rsidP="00025E8C">
            <w:pPr>
              <w:jc w:val="center"/>
              <w:rPr>
                <w:szCs w:val="22"/>
                <w:lang w:val="el-GR"/>
              </w:rPr>
            </w:pPr>
          </w:p>
        </w:tc>
        <w:tc>
          <w:tcPr>
            <w:tcW w:w="1619" w:type="dxa"/>
            <w:tcBorders>
              <w:top w:val="nil"/>
              <w:bottom w:val="nil"/>
            </w:tcBorders>
            <w:vAlign w:val="center"/>
          </w:tcPr>
          <w:p w:rsidR="00C63334" w:rsidRPr="0000418E" w:rsidRDefault="00C63334" w:rsidP="00025E8C">
            <w:pPr>
              <w:jc w:val="right"/>
              <w:rPr>
                <w:szCs w:val="22"/>
                <w:lang w:val="el-GR"/>
              </w:rPr>
            </w:pPr>
            <w:r w:rsidRPr="0000418E">
              <w:rPr>
                <w:szCs w:val="22"/>
              </w:rPr>
              <w:t>(</w:t>
            </w:r>
            <w:r w:rsidRPr="0000418E">
              <w:rPr>
                <w:szCs w:val="22"/>
                <w:lang w:val="el-GR"/>
              </w:rPr>
              <w:t>12</w:t>
            </w:r>
            <w:r w:rsidRPr="0000418E">
              <w:rPr>
                <w:szCs w:val="22"/>
              </w:rPr>
              <w:t>.</w:t>
            </w:r>
            <w:r w:rsidRPr="0000418E">
              <w:rPr>
                <w:szCs w:val="22"/>
                <w:lang w:val="el-GR"/>
              </w:rPr>
              <w:t>386</w:t>
            </w:r>
            <w:r w:rsidRPr="0000418E">
              <w:rPr>
                <w:szCs w:val="22"/>
              </w:rPr>
              <w:t>)</w:t>
            </w:r>
          </w:p>
        </w:tc>
        <w:tc>
          <w:tcPr>
            <w:tcW w:w="236" w:type="dxa"/>
            <w:tcBorders>
              <w:top w:val="nil"/>
              <w:bottom w:val="nil"/>
            </w:tcBorders>
          </w:tcPr>
          <w:p w:rsidR="00C63334" w:rsidRPr="0000418E" w:rsidRDefault="00C63334" w:rsidP="00025E8C">
            <w:pPr>
              <w:jc w:val="right"/>
              <w:rPr>
                <w:szCs w:val="22"/>
                <w:lang w:val="el-GR"/>
              </w:rPr>
            </w:pPr>
          </w:p>
        </w:tc>
        <w:tc>
          <w:tcPr>
            <w:tcW w:w="1206" w:type="dxa"/>
            <w:tcBorders>
              <w:top w:val="nil"/>
              <w:bottom w:val="nil"/>
            </w:tcBorders>
            <w:noWrap/>
            <w:vAlign w:val="center"/>
          </w:tcPr>
          <w:p w:rsidR="00C63334" w:rsidRPr="0000418E" w:rsidRDefault="00C63334" w:rsidP="00025E8C">
            <w:pPr>
              <w:jc w:val="right"/>
              <w:rPr>
                <w:szCs w:val="22"/>
                <w:lang w:val="el-GR"/>
              </w:rPr>
            </w:pPr>
            <w:r w:rsidRPr="0000418E">
              <w:rPr>
                <w:szCs w:val="22"/>
              </w:rPr>
              <w:t>(8.</w:t>
            </w:r>
            <w:r w:rsidRPr="0000418E">
              <w:rPr>
                <w:szCs w:val="22"/>
                <w:lang w:val="el-GR"/>
              </w:rPr>
              <w:t>532</w:t>
            </w:r>
            <w:r w:rsidRPr="0000418E">
              <w:rPr>
                <w:szCs w:val="22"/>
              </w:rPr>
              <w:t>)</w:t>
            </w:r>
          </w:p>
        </w:tc>
        <w:tc>
          <w:tcPr>
            <w:tcW w:w="359" w:type="dxa"/>
            <w:vAlign w:val="center"/>
          </w:tcPr>
          <w:p w:rsidR="00C63334" w:rsidRPr="0000418E" w:rsidRDefault="00C63334" w:rsidP="00025E8C">
            <w:pPr>
              <w:jc w:val="right"/>
              <w:rPr>
                <w:szCs w:val="22"/>
                <w:lang w:val="el-GR"/>
              </w:rPr>
            </w:pPr>
          </w:p>
        </w:tc>
      </w:tr>
      <w:tr w:rsidR="00C63334" w:rsidRPr="0000418E" w:rsidTr="00025E8C">
        <w:trPr>
          <w:trHeight w:val="340"/>
        </w:trPr>
        <w:tc>
          <w:tcPr>
            <w:tcW w:w="4320" w:type="dxa"/>
            <w:noWrap/>
            <w:vAlign w:val="center"/>
          </w:tcPr>
          <w:p w:rsidR="00C63334" w:rsidRPr="0000418E" w:rsidRDefault="00C63334" w:rsidP="00025E8C">
            <w:pPr>
              <w:jc w:val="both"/>
              <w:rPr>
                <w:b/>
                <w:szCs w:val="22"/>
                <w:lang w:val="el-GR"/>
              </w:rPr>
            </w:pPr>
            <w:r w:rsidRPr="0000418E">
              <w:rPr>
                <w:szCs w:val="22"/>
                <w:lang w:val="el-GR"/>
              </w:rPr>
              <w:t>Κόστος από λειτουργικές μισθώσεις</w:t>
            </w:r>
          </w:p>
        </w:tc>
        <w:tc>
          <w:tcPr>
            <w:tcW w:w="360" w:type="dxa"/>
            <w:noWrap/>
            <w:vAlign w:val="center"/>
          </w:tcPr>
          <w:p w:rsidR="00C63334" w:rsidRPr="0000418E" w:rsidRDefault="00C63334" w:rsidP="00025E8C">
            <w:pPr>
              <w:jc w:val="center"/>
              <w:rPr>
                <w:szCs w:val="22"/>
                <w:lang w:val="el-GR"/>
              </w:rPr>
            </w:pPr>
          </w:p>
        </w:tc>
        <w:tc>
          <w:tcPr>
            <w:tcW w:w="1619" w:type="dxa"/>
            <w:tcBorders>
              <w:top w:val="nil"/>
              <w:bottom w:val="single" w:sz="4" w:space="0" w:color="auto"/>
            </w:tcBorders>
            <w:vAlign w:val="center"/>
          </w:tcPr>
          <w:p w:rsidR="00C63334" w:rsidRPr="0000418E" w:rsidRDefault="00C63334" w:rsidP="00025E8C">
            <w:pPr>
              <w:jc w:val="right"/>
              <w:rPr>
                <w:szCs w:val="22"/>
                <w:lang w:val="el-GR"/>
              </w:rPr>
            </w:pPr>
            <w:r w:rsidRPr="0000418E">
              <w:rPr>
                <w:szCs w:val="22"/>
                <w:lang w:val="el-GR"/>
              </w:rPr>
              <w:t>(</w:t>
            </w:r>
            <w:r w:rsidRPr="0000418E">
              <w:rPr>
                <w:szCs w:val="22"/>
              </w:rPr>
              <w:t>1</w:t>
            </w:r>
            <w:r w:rsidRPr="0000418E">
              <w:rPr>
                <w:szCs w:val="22"/>
                <w:lang w:val="el-GR"/>
              </w:rPr>
              <w:t>.</w:t>
            </w:r>
            <w:r w:rsidRPr="0000418E">
              <w:rPr>
                <w:szCs w:val="22"/>
              </w:rPr>
              <w:t>508</w:t>
            </w:r>
            <w:r w:rsidRPr="0000418E">
              <w:rPr>
                <w:szCs w:val="22"/>
                <w:lang w:val="el-GR"/>
              </w:rPr>
              <w:t>)</w:t>
            </w:r>
          </w:p>
        </w:tc>
        <w:tc>
          <w:tcPr>
            <w:tcW w:w="236" w:type="dxa"/>
            <w:tcBorders>
              <w:top w:val="nil"/>
              <w:bottom w:val="nil"/>
            </w:tcBorders>
          </w:tcPr>
          <w:p w:rsidR="00C63334" w:rsidRPr="0000418E" w:rsidRDefault="00C63334" w:rsidP="00025E8C">
            <w:pPr>
              <w:jc w:val="right"/>
              <w:rPr>
                <w:szCs w:val="22"/>
                <w:lang w:val="el-GR"/>
              </w:rPr>
            </w:pPr>
          </w:p>
        </w:tc>
        <w:tc>
          <w:tcPr>
            <w:tcW w:w="1206" w:type="dxa"/>
            <w:tcBorders>
              <w:top w:val="nil"/>
              <w:bottom w:val="single" w:sz="4" w:space="0" w:color="auto"/>
            </w:tcBorders>
            <w:noWrap/>
            <w:vAlign w:val="center"/>
          </w:tcPr>
          <w:p w:rsidR="00C63334" w:rsidRPr="0000418E" w:rsidRDefault="00C63334" w:rsidP="00025E8C">
            <w:pPr>
              <w:jc w:val="right"/>
              <w:rPr>
                <w:szCs w:val="22"/>
                <w:lang w:val="el-GR"/>
              </w:rPr>
            </w:pPr>
            <w:r w:rsidRPr="0000418E">
              <w:rPr>
                <w:szCs w:val="22"/>
                <w:lang w:val="el-GR"/>
              </w:rPr>
              <w:t>(2.704)</w:t>
            </w:r>
          </w:p>
        </w:tc>
        <w:tc>
          <w:tcPr>
            <w:tcW w:w="359" w:type="dxa"/>
            <w:vAlign w:val="center"/>
          </w:tcPr>
          <w:p w:rsidR="00C63334" w:rsidRPr="0000418E" w:rsidRDefault="00C63334" w:rsidP="00025E8C">
            <w:pPr>
              <w:jc w:val="right"/>
              <w:rPr>
                <w:szCs w:val="22"/>
                <w:lang w:val="el-GR"/>
              </w:rPr>
            </w:pPr>
          </w:p>
        </w:tc>
      </w:tr>
      <w:tr w:rsidR="00C63334" w:rsidRPr="0000418E" w:rsidTr="00025E8C">
        <w:trPr>
          <w:trHeight w:val="340"/>
        </w:trPr>
        <w:tc>
          <w:tcPr>
            <w:tcW w:w="4320" w:type="dxa"/>
            <w:noWrap/>
            <w:vAlign w:val="center"/>
          </w:tcPr>
          <w:p w:rsidR="00C63334" w:rsidRPr="0000418E" w:rsidRDefault="00C63334" w:rsidP="00025E8C">
            <w:pPr>
              <w:jc w:val="both"/>
              <w:rPr>
                <w:szCs w:val="22"/>
                <w:lang w:val="el-GR"/>
              </w:rPr>
            </w:pPr>
            <w:r w:rsidRPr="0000418E">
              <w:rPr>
                <w:b/>
                <w:szCs w:val="22"/>
                <w:lang w:val="el-GR"/>
              </w:rPr>
              <w:t>Σύνολο Εξόδων</w:t>
            </w:r>
          </w:p>
        </w:tc>
        <w:tc>
          <w:tcPr>
            <w:tcW w:w="360" w:type="dxa"/>
            <w:noWrap/>
            <w:vAlign w:val="center"/>
          </w:tcPr>
          <w:p w:rsidR="00C63334" w:rsidRPr="0000418E" w:rsidRDefault="00C63334" w:rsidP="00025E8C">
            <w:pPr>
              <w:jc w:val="center"/>
              <w:rPr>
                <w:szCs w:val="22"/>
                <w:lang w:val="el-GR"/>
              </w:rPr>
            </w:pPr>
          </w:p>
        </w:tc>
        <w:tc>
          <w:tcPr>
            <w:tcW w:w="1619" w:type="dxa"/>
            <w:tcBorders>
              <w:top w:val="single" w:sz="4" w:space="0" w:color="auto"/>
              <w:bottom w:val="single" w:sz="4" w:space="0" w:color="auto"/>
            </w:tcBorders>
            <w:vAlign w:val="center"/>
          </w:tcPr>
          <w:p w:rsidR="00C63334" w:rsidRPr="0000418E" w:rsidRDefault="00C63334" w:rsidP="00025E8C">
            <w:pPr>
              <w:jc w:val="right"/>
              <w:rPr>
                <w:b/>
                <w:szCs w:val="22"/>
                <w:lang w:val="el-GR"/>
              </w:rPr>
            </w:pPr>
            <w:r w:rsidRPr="0000418E">
              <w:rPr>
                <w:b/>
                <w:szCs w:val="22"/>
              </w:rPr>
              <w:t>(</w:t>
            </w:r>
            <w:r w:rsidRPr="0000418E">
              <w:rPr>
                <w:b/>
                <w:szCs w:val="22"/>
                <w:lang w:val="el-GR"/>
              </w:rPr>
              <w:t>71.171</w:t>
            </w:r>
            <w:r w:rsidRPr="0000418E">
              <w:rPr>
                <w:b/>
                <w:szCs w:val="22"/>
              </w:rPr>
              <w:t>)</w:t>
            </w:r>
          </w:p>
        </w:tc>
        <w:tc>
          <w:tcPr>
            <w:tcW w:w="236" w:type="dxa"/>
            <w:tcBorders>
              <w:bottom w:val="nil"/>
            </w:tcBorders>
          </w:tcPr>
          <w:p w:rsidR="00C63334" w:rsidRPr="0000418E" w:rsidRDefault="00C63334" w:rsidP="00025E8C">
            <w:pPr>
              <w:jc w:val="right"/>
              <w:rPr>
                <w:szCs w:val="22"/>
                <w:lang w:val="el-GR"/>
              </w:rPr>
            </w:pPr>
          </w:p>
        </w:tc>
        <w:tc>
          <w:tcPr>
            <w:tcW w:w="1206" w:type="dxa"/>
            <w:tcBorders>
              <w:top w:val="single" w:sz="4" w:space="0" w:color="auto"/>
              <w:bottom w:val="single" w:sz="4" w:space="0" w:color="auto"/>
            </w:tcBorders>
            <w:noWrap/>
            <w:vAlign w:val="center"/>
          </w:tcPr>
          <w:p w:rsidR="00C63334" w:rsidRPr="0000418E" w:rsidRDefault="00C63334" w:rsidP="00025E8C">
            <w:pPr>
              <w:jc w:val="right"/>
              <w:rPr>
                <w:b/>
                <w:szCs w:val="22"/>
                <w:lang w:val="el-GR"/>
              </w:rPr>
            </w:pPr>
            <w:r w:rsidRPr="0000418E">
              <w:rPr>
                <w:b/>
                <w:szCs w:val="22"/>
              </w:rPr>
              <w:t>(</w:t>
            </w:r>
            <w:r w:rsidRPr="0000418E">
              <w:rPr>
                <w:b/>
                <w:szCs w:val="22"/>
                <w:lang w:val="el-GR"/>
              </w:rPr>
              <w:t>74.723</w:t>
            </w:r>
            <w:r w:rsidRPr="0000418E">
              <w:rPr>
                <w:b/>
                <w:szCs w:val="22"/>
              </w:rPr>
              <w:t>)</w:t>
            </w:r>
          </w:p>
        </w:tc>
        <w:tc>
          <w:tcPr>
            <w:tcW w:w="359" w:type="dxa"/>
            <w:vAlign w:val="center"/>
          </w:tcPr>
          <w:p w:rsidR="00C63334" w:rsidRPr="0000418E" w:rsidRDefault="00C63334" w:rsidP="00025E8C">
            <w:pPr>
              <w:jc w:val="right"/>
              <w:rPr>
                <w:szCs w:val="22"/>
                <w:lang w:val="el-GR"/>
              </w:rPr>
            </w:pPr>
          </w:p>
        </w:tc>
      </w:tr>
      <w:tr w:rsidR="00C63334" w:rsidRPr="0000418E" w:rsidTr="00025E8C">
        <w:trPr>
          <w:trHeight w:val="340"/>
        </w:trPr>
        <w:tc>
          <w:tcPr>
            <w:tcW w:w="4320" w:type="dxa"/>
            <w:noWrap/>
            <w:vAlign w:val="center"/>
          </w:tcPr>
          <w:p w:rsidR="00C63334" w:rsidRPr="0000418E" w:rsidRDefault="00C63334" w:rsidP="00025E8C">
            <w:pPr>
              <w:jc w:val="both"/>
              <w:rPr>
                <w:b/>
                <w:szCs w:val="22"/>
                <w:lang w:val="el-GR"/>
              </w:rPr>
            </w:pPr>
            <w:r w:rsidRPr="0000418E">
              <w:rPr>
                <w:b/>
                <w:szCs w:val="22"/>
                <w:lang w:val="el-GR"/>
              </w:rPr>
              <w:t>Αποτέλεσμα προ φόρων</w:t>
            </w:r>
          </w:p>
        </w:tc>
        <w:tc>
          <w:tcPr>
            <w:tcW w:w="360" w:type="dxa"/>
            <w:noWrap/>
            <w:vAlign w:val="center"/>
          </w:tcPr>
          <w:p w:rsidR="00C63334" w:rsidRPr="0000418E" w:rsidRDefault="00C63334" w:rsidP="00025E8C">
            <w:pPr>
              <w:jc w:val="center"/>
              <w:rPr>
                <w:szCs w:val="22"/>
                <w:lang w:val="el-GR"/>
              </w:rPr>
            </w:pPr>
          </w:p>
        </w:tc>
        <w:tc>
          <w:tcPr>
            <w:tcW w:w="1619" w:type="dxa"/>
            <w:tcBorders>
              <w:top w:val="single" w:sz="4" w:space="0" w:color="auto"/>
              <w:bottom w:val="nil"/>
            </w:tcBorders>
            <w:vAlign w:val="center"/>
          </w:tcPr>
          <w:p w:rsidR="00C63334" w:rsidRPr="0000418E" w:rsidRDefault="00C63334" w:rsidP="00025E8C">
            <w:pPr>
              <w:jc w:val="right"/>
              <w:rPr>
                <w:szCs w:val="22"/>
                <w:lang w:val="el-GR"/>
              </w:rPr>
            </w:pPr>
            <w:r w:rsidRPr="0000418E">
              <w:rPr>
                <w:szCs w:val="22"/>
              </w:rPr>
              <w:t>(</w:t>
            </w:r>
            <w:r w:rsidRPr="0000418E">
              <w:rPr>
                <w:szCs w:val="22"/>
                <w:lang w:val="el-GR"/>
              </w:rPr>
              <w:t>65.450</w:t>
            </w:r>
            <w:r w:rsidRPr="0000418E">
              <w:rPr>
                <w:szCs w:val="22"/>
              </w:rPr>
              <w:t>)</w:t>
            </w:r>
          </w:p>
        </w:tc>
        <w:tc>
          <w:tcPr>
            <w:tcW w:w="236" w:type="dxa"/>
            <w:tcBorders>
              <w:top w:val="nil"/>
              <w:bottom w:val="nil"/>
            </w:tcBorders>
          </w:tcPr>
          <w:p w:rsidR="00C63334" w:rsidRPr="0000418E" w:rsidRDefault="00C63334" w:rsidP="00025E8C">
            <w:pPr>
              <w:jc w:val="right"/>
              <w:rPr>
                <w:szCs w:val="22"/>
                <w:lang w:val="el-GR"/>
              </w:rPr>
            </w:pPr>
          </w:p>
        </w:tc>
        <w:tc>
          <w:tcPr>
            <w:tcW w:w="1206" w:type="dxa"/>
            <w:tcBorders>
              <w:top w:val="single" w:sz="4" w:space="0" w:color="auto"/>
              <w:bottom w:val="nil"/>
            </w:tcBorders>
            <w:noWrap/>
            <w:vAlign w:val="center"/>
          </w:tcPr>
          <w:p w:rsidR="00C63334" w:rsidRPr="0000418E" w:rsidRDefault="00C63334" w:rsidP="00025E8C">
            <w:pPr>
              <w:jc w:val="right"/>
              <w:rPr>
                <w:szCs w:val="22"/>
                <w:lang w:val="el-GR"/>
              </w:rPr>
            </w:pPr>
            <w:r w:rsidRPr="0000418E">
              <w:rPr>
                <w:szCs w:val="22"/>
              </w:rPr>
              <w:t>(</w:t>
            </w:r>
            <w:r w:rsidRPr="0000418E">
              <w:rPr>
                <w:szCs w:val="22"/>
                <w:lang w:val="el-GR"/>
              </w:rPr>
              <w:t>68.822</w:t>
            </w:r>
            <w:r w:rsidRPr="0000418E">
              <w:rPr>
                <w:szCs w:val="22"/>
              </w:rPr>
              <w:t>)</w:t>
            </w:r>
          </w:p>
        </w:tc>
        <w:tc>
          <w:tcPr>
            <w:tcW w:w="359" w:type="dxa"/>
            <w:vAlign w:val="center"/>
          </w:tcPr>
          <w:p w:rsidR="00C63334" w:rsidRPr="0000418E" w:rsidRDefault="00C63334" w:rsidP="00025E8C">
            <w:pPr>
              <w:jc w:val="right"/>
              <w:rPr>
                <w:szCs w:val="22"/>
                <w:lang w:val="el-GR"/>
              </w:rPr>
            </w:pPr>
          </w:p>
        </w:tc>
      </w:tr>
      <w:tr w:rsidR="00C63334" w:rsidRPr="0000418E" w:rsidTr="00025E8C">
        <w:trPr>
          <w:trHeight w:val="340"/>
        </w:trPr>
        <w:tc>
          <w:tcPr>
            <w:tcW w:w="4320" w:type="dxa"/>
            <w:noWrap/>
            <w:vAlign w:val="center"/>
          </w:tcPr>
          <w:p w:rsidR="00C63334" w:rsidRPr="0000418E" w:rsidRDefault="00C63334" w:rsidP="00025E8C">
            <w:pPr>
              <w:jc w:val="both"/>
              <w:rPr>
                <w:szCs w:val="22"/>
                <w:lang w:val="el-GR"/>
              </w:rPr>
            </w:pPr>
            <w:r w:rsidRPr="0000418E">
              <w:rPr>
                <w:szCs w:val="22"/>
                <w:lang w:val="el-GR"/>
              </w:rPr>
              <w:t>Φόρος εισοδήματος</w:t>
            </w:r>
          </w:p>
        </w:tc>
        <w:tc>
          <w:tcPr>
            <w:tcW w:w="360" w:type="dxa"/>
            <w:noWrap/>
            <w:vAlign w:val="center"/>
          </w:tcPr>
          <w:p w:rsidR="00C63334" w:rsidRPr="0000418E" w:rsidRDefault="00C63334" w:rsidP="00025E8C">
            <w:pPr>
              <w:jc w:val="center"/>
              <w:rPr>
                <w:szCs w:val="22"/>
                <w:lang w:val="el-GR"/>
              </w:rPr>
            </w:pPr>
          </w:p>
        </w:tc>
        <w:tc>
          <w:tcPr>
            <w:tcW w:w="1619" w:type="dxa"/>
            <w:tcBorders>
              <w:top w:val="nil"/>
              <w:bottom w:val="single" w:sz="4" w:space="0" w:color="auto"/>
            </w:tcBorders>
            <w:vAlign w:val="center"/>
          </w:tcPr>
          <w:p w:rsidR="00C63334" w:rsidRPr="0000418E" w:rsidRDefault="00C63334" w:rsidP="00025E8C">
            <w:pPr>
              <w:jc w:val="right"/>
              <w:rPr>
                <w:szCs w:val="22"/>
              </w:rPr>
            </w:pPr>
            <w:r w:rsidRPr="0000418E">
              <w:rPr>
                <w:szCs w:val="22"/>
              </w:rPr>
              <w:t>-</w:t>
            </w:r>
          </w:p>
        </w:tc>
        <w:tc>
          <w:tcPr>
            <w:tcW w:w="236" w:type="dxa"/>
            <w:tcBorders>
              <w:top w:val="nil"/>
            </w:tcBorders>
          </w:tcPr>
          <w:p w:rsidR="00C63334" w:rsidRPr="0000418E" w:rsidRDefault="00C63334" w:rsidP="00025E8C">
            <w:pPr>
              <w:jc w:val="right"/>
              <w:rPr>
                <w:szCs w:val="22"/>
                <w:lang w:val="el-GR"/>
              </w:rPr>
            </w:pPr>
          </w:p>
        </w:tc>
        <w:tc>
          <w:tcPr>
            <w:tcW w:w="1206" w:type="dxa"/>
            <w:tcBorders>
              <w:top w:val="nil"/>
              <w:bottom w:val="single" w:sz="4" w:space="0" w:color="auto"/>
            </w:tcBorders>
            <w:noWrap/>
            <w:vAlign w:val="center"/>
          </w:tcPr>
          <w:p w:rsidR="00C63334" w:rsidRPr="0000418E" w:rsidRDefault="00C63334" w:rsidP="00025E8C">
            <w:pPr>
              <w:jc w:val="right"/>
              <w:rPr>
                <w:szCs w:val="22"/>
                <w:lang w:val="el-GR"/>
              </w:rPr>
            </w:pPr>
            <w:r w:rsidRPr="0000418E">
              <w:rPr>
                <w:szCs w:val="22"/>
                <w:lang w:val="el-GR"/>
              </w:rPr>
              <w:t>(3.028)</w:t>
            </w:r>
          </w:p>
        </w:tc>
        <w:tc>
          <w:tcPr>
            <w:tcW w:w="359" w:type="dxa"/>
            <w:vAlign w:val="center"/>
          </w:tcPr>
          <w:p w:rsidR="00C63334" w:rsidRPr="0000418E" w:rsidRDefault="00C63334" w:rsidP="00025E8C">
            <w:pPr>
              <w:jc w:val="right"/>
              <w:rPr>
                <w:szCs w:val="22"/>
                <w:lang w:val="el-GR"/>
              </w:rPr>
            </w:pPr>
          </w:p>
        </w:tc>
      </w:tr>
      <w:tr w:rsidR="00C63334" w:rsidRPr="0000418E" w:rsidTr="00025E8C">
        <w:trPr>
          <w:trHeight w:val="208"/>
        </w:trPr>
        <w:tc>
          <w:tcPr>
            <w:tcW w:w="4320" w:type="dxa"/>
            <w:noWrap/>
            <w:vAlign w:val="center"/>
          </w:tcPr>
          <w:p w:rsidR="00C63334" w:rsidRPr="0000418E" w:rsidRDefault="00C63334" w:rsidP="00025E8C">
            <w:pPr>
              <w:jc w:val="both"/>
              <w:rPr>
                <w:b/>
                <w:szCs w:val="22"/>
                <w:lang w:val="el-GR"/>
              </w:rPr>
            </w:pPr>
            <w:r w:rsidRPr="0000418E">
              <w:rPr>
                <w:b/>
                <w:szCs w:val="22"/>
                <w:lang w:val="el-GR"/>
              </w:rPr>
              <w:t>Καθαρό αποτέλεσμα</w:t>
            </w:r>
          </w:p>
        </w:tc>
        <w:tc>
          <w:tcPr>
            <w:tcW w:w="360" w:type="dxa"/>
            <w:noWrap/>
            <w:vAlign w:val="center"/>
          </w:tcPr>
          <w:p w:rsidR="00C63334" w:rsidRPr="0000418E" w:rsidRDefault="00C63334" w:rsidP="00025E8C">
            <w:pPr>
              <w:jc w:val="center"/>
              <w:rPr>
                <w:szCs w:val="22"/>
                <w:lang w:val="el-GR"/>
              </w:rPr>
            </w:pPr>
          </w:p>
        </w:tc>
        <w:tc>
          <w:tcPr>
            <w:tcW w:w="1619" w:type="dxa"/>
            <w:tcBorders>
              <w:top w:val="nil"/>
              <w:bottom w:val="double" w:sz="4" w:space="0" w:color="auto"/>
            </w:tcBorders>
            <w:vAlign w:val="center"/>
          </w:tcPr>
          <w:p w:rsidR="00C63334" w:rsidRPr="0000418E" w:rsidRDefault="00C63334" w:rsidP="00025E8C">
            <w:pPr>
              <w:jc w:val="right"/>
              <w:rPr>
                <w:b/>
                <w:szCs w:val="22"/>
                <w:lang w:val="el-GR"/>
              </w:rPr>
            </w:pPr>
            <w:r w:rsidRPr="0000418E">
              <w:rPr>
                <w:b/>
                <w:szCs w:val="22"/>
              </w:rPr>
              <w:t>(</w:t>
            </w:r>
            <w:r w:rsidRPr="0000418E">
              <w:rPr>
                <w:b/>
                <w:szCs w:val="22"/>
                <w:lang w:val="el-GR"/>
              </w:rPr>
              <w:t>65.450</w:t>
            </w:r>
            <w:r w:rsidRPr="0000418E">
              <w:rPr>
                <w:b/>
                <w:szCs w:val="22"/>
              </w:rPr>
              <w:t>)</w:t>
            </w:r>
          </w:p>
        </w:tc>
        <w:tc>
          <w:tcPr>
            <w:tcW w:w="236" w:type="dxa"/>
            <w:vAlign w:val="center"/>
          </w:tcPr>
          <w:p w:rsidR="00C63334" w:rsidRPr="0000418E" w:rsidRDefault="00C63334" w:rsidP="00025E8C">
            <w:pPr>
              <w:jc w:val="right"/>
              <w:rPr>
                <w:szCs w:val="22"/>
                <w:lang w:val="el-GR"/>
              </w:rPr>
            </w:pPr>
          </w:p>
        </w:tc>
        <w:tc>
          <w:tcPr>
            <w:tcW w:w="1206" w:type="dxa"/>
            <w:tcBorders>
              <w:top w:val="nil"/>
              <w:bottom w:val="double" w:sz="4" w:space="0" w:color="auto"/>
            </w:tcBorders>
            <w:noWrap/>
            <w:vAlign w:val="center"/>
          </w:tcPr>
          <w:p w:rsidR="00C63334" w:rsidRPr="0000418E" w:rsidRDefault="00C63334" w:rsidP="00025E8C">
            <w:pPr>
              <w:jc w:val="right"/>
              <w:rPr>
                <w:b/>
                <w:szCs w:val="22"/>
                <w:lang w:val="el-GR"/>
              </w:rPr>
            </w:pPr>
            <w:r w:rsidRPr="0000418E">
              <w:rPr>
                <w:b/>
                <w:szCs w:val="22"/>
              </w:rPr>
              <w:t>(</w:t>
            </w:r>
            <w:r w:rsidRPr="0000418E">
              <w:rPr>
                <w:b/>
                <w:szCs w:val="22"/>
                <w:lang w:val="el-GR"/>
              </w:rPr>
              <w:t>71.850</w:t>
            </w:r>
            <w:r w:rsidRPr="0000418E">
              <w:rPr>
                <w:b/>
                <w:szCs w:val="22"/>
              </w:rPr>
              <w:t>)</w:t>
            </w:r>
          </w:p>
        </w:tc>
        <w:tc>
          <w:tcPr>
            <w:tcW w:w="359" w:type="dxa"/>
            <w:vAlign w:val="center"/>
          </w:tcPr>
          <w:p w:rsidR="00C63334" w:rsidRPr="0000418E" w:rsidRDefault="00C63334" w:rsidP="00025E8C">
            <w:pPr>
              <w:jc w:val="right"/>
              <w:rPr>
                <w:szCs w:val="22"/>
                <w:lang w:val="el-GR"/>
              </w:rPr>
            </w:pPr>
          </w:p>
        </w:tc>
      </w:tr>
    </w:tbl>
    <w:p w:rsidR="00C63334" w:rsidRDefault="00C63334" w:rsidP="00C63334">
      <w:pPr>
        <w:pStyle w:val="Heading1"/>
        <w:rPr>
          <w:rFonts w:eastAsia="Arial Unicode MS"/>
          <w:iCs/>
          <w:szCs w:val="22"/>
          <w:lang w:val="el-GR"/>
        </w:rPr>
      </w:pPr>
    </w:p>
    <w:p w:rsidR="00C63334" w:rsidRDefault="00C63334" w:rsidP="00C63334">
      <w:pPr>
        <w:rPr>
          <w:rFonts w:eastAsia="Arial Unicode MS"/>
          <w:lang w:val="el-GR"/>
        </w:rPr>
      </w:pPr>
    </w:p>
    <w:p w:rsidR="003D5C77" w:rsidRDefault="003D5C77" w:rsidP="00C63334">
      <w:pPr>
        <w:rPr>
          <w:rFonts w:eastAsia="Arial Unicode MS"/>
          <w:lang w:val="el-GR"/>
        </w:rPr>
      </w:pPr>
    </w:p>
    <w:p w:rsidR="003D5C77" w:rsidRDefault="003D5C77" w:rsidP="00C63334">
      <w:pPr>
        <w:rPr>
          <w:rFonts w:eastAsia="Arial Unicode MS"/>
          <w:lang w:val="el-GR"/>
        </w:rPr>
      </w:pPr>
    </w:p>
    <w:p w:rsidR="003D5C77" w:rsidRDefault="003D5C77" w:rsidP="00C63334">
      <w:pPr>
        <w:rPr>
          <w:rFonts w:eastAsia="Arial Unicode MS"/>
          <w:lang w:val="el-GR"/>
        </w:rPr>
      </w:pPr>
    </w:p>
    <w:p w:rsidR="003D5C77" w:rsidRPr="003D5C77" w:rsidRDefault="003D5C77" w:rsidP="00C63334">
      <w:pPr>
        <w:rPr>
          <w:rFonts w:eastAsia="Arial Unicode MS"/>
          <w:lang w:val="el-GR"/>
        </w:rPr>
      </w:pPr>
    </w:p>
    <w:p w:rsidR="00C63334" w:rsidRPr="00B90261" w:rsidRDefault="00C63334" w:rsidP="00C63334">
      <w:pPr>
        <w:rPr>
          <w:rFonts w:eastAsia="Arial Unicode MS"/>
        </w:rPr>
      </w:pPr>
    </w:p>
    <w:p w:rsidR="00C63334" w:rsidRPr="0000418E" w:rsidRDefault="00C63334" w:rsidP="00C63334">
      <w:pPr>
        <w:pStyle w:val="Heading1"/>
        <w:rPr>
          <w:rFonts w:eastAsia="Arial Unicode MS"/>
          <w:iCs/>
          <w:szCs w:val="22"/>
          <w:lang w:val="el-GR"/>
        </w:rPr>
      </w:pPr>
      <w:r w:rsidRPr="0000418E">
        <w:rPr>
          <w:iCs/>
          <w:szCs w:val="22"/>
          <w:lang w:val="el-GR"/>
        </w:rPr>
        <w:lastRenderedPageBreak/>
        <w:t xml:space="preserve">Επισφάλειες </w:t>
      </w:r>
    </w:p>
    <w:p w:rsidR="00C63334" w:rsidRPr="0000418E" w:rsidRDefault="00C63334" w:rsidP="00C63334">
      <w:pPr>
        <w:jc w:val="both"/>
        <w:rPr>
          <w:szCs w:val="22"/>
          <w:lang w:val="el-GR"/>
        </w:rPr>
      </w:pPr>
    </w:p>
    <w:p w:rsidR="00C63334" w:rsidRPr="00C63334" w:rsidRDefault="00C63334" w:rsidP="00C63334">
      <w:pPr>
        <w:jc w:val="both"/>
        <w:rPr>
          <w:szCs w:val="22"/>
          <w:lang w:val="el-GR"/>
        </w:rPr>
      </w:pPr>
      <w:r w:rsidRPr="0000418E">
        <w:rPr>
          <w:szCs w:val="22"/>
          <w:lang w:val="el-GR"/>
        </w:rPr>
        <w:t>Το συνολικό ποσό της εκτιμώμενης επισφάλειας την 31</w:t>
      </w:r>
      <w:r w:rsidRPr="0000418E">
        <w:rPr>
          <w:szCs w:val="22"/>
          <w:vertAlign w:val="superscript"/>
          <w:lang w:val="el-GR"/>
        </w:rPr>
        <w:t>η</w:t>
      </w:r>
      <w:r w:rsidRPr="0000418E">
        <w:rPr>
          <w:szCs w:val="22"/>
          <w:lang w:val="el-GR"/>
        </w:rPr>
        <w:t xml:space="preserve"> Δεκεμβρίου 2012 διαμορφώθηκε στο ποσό των </w:t>
      </w:r>
      <w:smartTag w:uri="urn:schemas-microsoft-com:office:smarttags" w:element="metricconverter">
        <w:smartTagPr>
          <w:attr w:name="ProductID" w:val="174.176 χιλ."/>
        </w:smartTagPr>
        <w:r w:rsidRPr="0000418E">
          <w:rPr>
            <w:szCs w:val="22"/>
            <w:lang w:val="el-GR"/>
          </w:rPr>
          <w:t>174.176 χιλ.</w:t>
        </w:r>
      </w:smartTag>
      <w:r w:rsidRPr="0000418E">
        <w:rPr>
          <w:szCs w:val="22"/>
          <w:lang w:val="el-GR"/>
        </w:rPr>
        <w:t xml:space="preserve"> ευρώ, για το οποίο έχει σχηματιστεί αντίστοιχη πρόβλεψη, ώστε να αντιμετωπισθούν τα προβλήματα όσον αφορά </w:t>
      </w:r>
      <w:r>
        <w:rPr>
          <w:szCs w:val="22"/>
          <w:lang w:val="el-GR"/>
        </w:rPr>
        <w:t xml:space="preserve">το </w:t>
      </w:r>
      <w:r w:rsidRPr="00B90261">
        <w:rPr>
          <w:szCs w:val="22"/>
          <w:lang w:val="el-GR"/>
        </w:rPr>
        <w:t>προβληματικό χαρτοφυλάκιο,</w:t>
      </w:r>
      <w:r w:rsidRPr="0000418E">
        <w:rPr>
          <w:szCs w:val="22"/>
          <w:lang w:val="el-GR"/>
        </w:rPr>
        <w:t xml:space="preserve"> δηλαδή το μεγάλο αριθμό των καταγγελμένων συμβάσεων, τα σημαντικού ύψους ληξιπρόθεσμα μισθώματα ενεργών συμβάσεων και το μακρύ μέσο χρόνο καθυστέρησής τους.</w:t>
      </w:r>
      <w:r>
        <w:rPr>
          <w:szCs w:val="22"/>
          <w:lang w:val="el-GR"/>
        </w:rPr>
        <w:t xml:space="preserve"> </w:t>
      </w:r>
    </w:p>
    <w:p w:rsidR="00C63334" w:rsidRPr="0000418E" w:rsidRDefault="00C63334" w:rsidP="00C63334">
      <w:pPr>
        <w:jc w:val="both"/>
        <w:rPr>
          <w:szCs w:val="22"/>
          <w:lang w:val="el-GR"/>
        </w:rPr>
      </w:pPr>
      <w:r w:rsidRPr="0000418E">
        <w:rPr>
          <w:szCs w:val="22"/>
          <w:lang w:val="el-GR"/>
        </w:rPr>
        <w:t xml:space="preserve">Σημειώνεται ότι τα ζημιογόνα αποτελέσματα για τη χρήση 2012 επιβάρυναν οι πρόσθετες προβλέψεις </w:t>
      </w:r>
      <w:smartTag w:uri="urn:schemas-microsoft-com:office:smarttags" w:element="metricconverter">
        <w:smartTagPr>
          <w:attr w:name="ProductID" w:val="20.309 χιλ."/>
        </w:smartTagPr>
        <w:r w:rsidRPr="0000418E">
          <w:rPr>
            <w:szCs w:val="22"/>
            <w:lang w:val="el-GR"/>
          </w:rPr>
          <w:t>20.309 χιλ.</w:t>
        </w:r>
      </w:smartTag>
      <w:r w:rsidRPr="0000418E">
        <w:rPr>
          <w:szCs w:val="22"/>
          <w:lang w:val="el-GR"/>
        </w:rPr>
        <w:t xml:space="preserve"> ευρώ (ζημία αποτιμήσεως επενδυτικών ακινήτων που υπολογίστηκαν σε ρευστοποιήσιμες αξίες) και το λειτουργικό κόστος εμφανίζεται αυξημένο λόγω της αύξησης των </w:t>
      </w:r>
      <w:r>
        <w:rPr>
          <w:szCs w:val="22"/>
          <w:lang w:val="el-GR"/>
        </w:rPr>
        <w:t>γ</w:t>
      </w:r>
      <w:r w:rsidRPr="0000418E">
        <w:rPr>
          <w:szCs w:val="22"/>
          <w:lang w:val="el-GR"/>
        </w:rPr>
        <w:t>ενικών εξόδων που οφείλονται στην πληρωμή ποσού 6,2 εκατ. ευρώ σε φόρους μεταβίβασης ακινήτων (ακίνητα τα οποία αφαιρέθηκαν και έπρεπε να πληρωθεί ο Φ.Μ.Α.</w:t>
      </w:r>
      <w:r>
        <w:rPr>
          <w:szCs w:val="22"/>
          <w:lang w:val="el-GR"/>
        </w:rPr>
        <w:t>,</w:t>
      </w:r>
      <w:r w:rsidRPr="0000418E">
        <w:rPr>
          <w:szCs w:val="22"/>
          <w:lang w:val="el-GR"/>
        </w:rPr>
        <w:t xml:space="preserve"> όπου υπήρχε απαλλαγή του φόρου κατά την υπογραφή της σύμβασης Χ/Μ</w:t>
      </w:r>
      <w:r>
        <w:rPr>
          <w:szCs w:val="22"/>
          <w:lang w:val="el-GR"/>
        </w:rPr>
        <w:t>)</w:t>
      </w:r>
      <w:r w:rsidRPr="0000418E">
        <w:rPr>
          <w:szCs w:val="22"/>
          <w:lang w:val="el-GR"/>
        </w:rPr>
        <w:t>.</w:t>
      </w:r>
    </w:p>
    <w:p w:rsidR="00C63334" w:rsidRPr="00C63334" w:rsidRDefault="00C63334" w:rsidP="00C63334">
      <w:pPr>
        <w:jc w:val="both"/>
        <w:rPr>
          <w:szCs w:val="22"/>
          <w:lang w:val="el-GR"/>
        </w:rPr>
      </w:pPr>
    </w:p>
    <w:p w:rsidR="00C63334" w:rsidRPr="00C63334" w:rsidRDefault="00C63334" w:rsidP="00C63334">
      <w:pPr>
        <w:jc w:val="both"/>
        <w:rPr>
          <w:szCs w:val="22"/>
          <w:lang w:val="el-GR"/>
        </w:rPr>
      </w:pPr>
    </w:p>
    <w:p w:rsidR="00C63334" w:rsidRPr="0000418E" w:rsidRDefault="00C63334" w:rsidP="00C63334">
      <w:pPr>
        <w:jc w:val="both"/>
        <w:rPr>
          <w:b/>
          <w:szCs w:val="22"/>
          <w:lang w:val="el-GR"/>
        </w:rPr>
      </w:pPr>
      <w:r w:rsidRPr="0000418E">
        <w:rPr>
          <w:b/>
          <w:szCs w:val="22"/>
          <w:lang w:val="el-GR"/>
        </w:rPr>
        <w:t>Ίδια κεφάλαια</w:t>
      </w:r>
    </w:p>
    <w:p w:rsidR="00C63334" w:rsidRPr="0000418E" w:rsidRDefault="00C63334" w:rsidP="00C63334">
      <w:pPr>
        <w:jc w:val="both"/>
        <w:rPr>
          <w:szCs w:val="22"/>
          <w:lang w:val="el-GR"/>
        </w:rPr>
      </w:pPr>
    </w:p>
    <w:p w:rsidR="00C63334" w:rsidRPr="0000418E" w:rsidRDefault="00C63334" w:rsidP="00C63334">
      <w:pPr>
        <w:spacing w:line="240" w:lineRule="auto"/>
        <w:jc w:val="both"/>
        <w:rPr>
          <w:lang w:val="el-GR"/>
        </w:rPr>
      </w:pPr>
      <w:r w:rsidRPr="0000418E">
        <w:rPr>
          <w:szCs w:val="22"/>
          <w:lang w:val="el-GR"/>
        </w:rPr>
        <w:t xml:space="preserve">Η ανάγκη σχηματισμού προβλέψεων </w:t>
      </w:r>
      <w:r w:rsidRPr="0000418E">
        <w:rPr>
          <w:szCs w:val="17"/>
          <w:lang w:val="el-GR"/>
        </w:rPr>
        <w:t xml:space="preserve">για απομείωση απαιτήσεων και επενδυτικών ακινήτων κατά τη διάρκεια της χρήσεως </w:t>
      </w:r>
      <w:r w:rsidRPr="0000418E">
        <w:rPr>
          <w:lang w:val="el-GR"/>
        </w:rPr>
        <w:t>2012</w:t>
      </w:r>
      <w:r w:rsidRPr="0000418E">
        <w:rPr>
          <w:szCs w:val="17"/>
          <w:lang w:val="el-GR"/>
        </w:rPr>
        <w:t xml:space="preserve"> ποσού </w:t>
      </w:r>
      <w:smartTag w:uri="urn:schemas-microsoft-com:office:smarttags" w:element="metricconverter">
        <w:smartTagPr>
          <w:attr w:name="ProductID" w:val="36.968 χιλ."/>
        </w:smartTagPr>
        <w:r w:rsidRPr="0000418E">
          <w:rPr>
            <w:szCs w:val="17"/>
            <w:lang w:val="el-GR"/>
          </w:rPr>
          <w:t>36.968 χιλ.</w:t>
        </w:r>
      </w:smartTag>
      <w:r w:rsidRPr="0000418E">
        <w:rPr>
          <w:szCs w:val="17"/>
          <w:lang w:val="el-GR"/>
        </w:rPr>
        <w:t xml:space="preserve"> ευρώ και </w:t>
      </w:r>
      <w:smartTag w:uri="urn:schemas-microsoft-com:office:smarttags" w:element="metricconverter">
        <w:smartTagPr>
          <w:attr w:name="ProductID" w:val="20.309 χιλ."/>
        </w:smartTagPr>
        <w:r w:rsidRPr="0000418E">
          <w:rPr>
            <w:szCs w:val="17"/>
            <w:lang w:val="el-GR"/>
          </w:rPr>
          <w:t>20.309 χιλ.</w:t>
        </w:r>
      </w:smartTag>
      <w:r w:rsidRPr="0000418E">
        <w:rPr>
          <w:szCs w:val="17"/>
          <w:lang w:val="el-GR"/>
        </w:rPr>
        <w:t xml:space="preserve"> ευρώ αντίστοιχα</w:t>
      </w:r>
      <w:r w:rsidRPr="0000418E">
        <w:rPr>
          <w:lang w:val="el-GR"/>
        </w:rPr>
        <w:t xml:space="preserve">, ήταν </w:t>
      </w:r>
      <w:r w:rsidRPr="0000418E">
        <w:t>o</w:t>
      </w:r>
      <w:r w:rsidRPr="0000418E">
        <w:rPr>
          <w:lang w:val="el-GR"/>
        </w:rPr>
        <w:t xml:space="preserve"> κύριος παράγοντας για τη διαμόρφωση του αποτελέσματος το οποίο είναι ζημία </w:t>
      </w:r>
      <w:smartTag w:uri="urn:schemas-microsoft-com:office:smarttags" w:element="metricconverter">
        <w:smartTagPr>
          <w:attr w:name="ProductID" w:val="65.450 χιλ."/>
        </w:smartTagPr>
        <w:r w:rsidRPr="0000418E">
          <w:rPr>
            <w:lang w:val="el-GR"/>
          </w:rPr>
          <w:t>65.450 χιλ.</w:t>
        </w:r>
      </w:smartTag>
      <w:r w:rsidRPr="0000418E">
        <w:rPr>
          <w:lang w:val="el-GR"/>
        </w:rPr>
        <w:t xml:space="preserve"> ευρώ.  </w:t>
      </w:r>
    </w:p>
    <w:p w:rsidR="00C63334" w:rsidRPr="0000418E" w:rsidRDefault="00C63334" w:rsidP="00C63334">
      <w:pPr>
        <w:spacing w:line="240" w:lineRule="auto"/>
        <w:jc w:val="both"/>
        <w:rPr>
          <w:lang w:val="el-GR"/>
        </w:rPr>
      </w:pPr>
    </w:p>
    <w:p w:rsidR="00C63334" w:rsidRPr="0000418E" w:rsidRDefault="00C63334" w:rsidP="00C63334">
      <w:pPr>
        <w:spacing w:line="240" w:lineRule="auto"/>
        <w:jc w:val="both"/>
        <w:rPr>
          <w:lang w:val="el-GR"/>
        </w:rPr>
      </w:pPr>
      <w:r w:rsidRPr="0000418E">
        <w:rPr>
          <w:lang w:val="el-GR"/>
        </w:rPr>
        <w:t>Τα παραπάνω συντέλεσαν στο να μειωθούν περαιτέρω τα ίδια κεφάλαια της Εταιρείας, τα οποία παρουσίασαν αρνητικό (χρεωστικό) υπόλοιπο στις 31/12/2012 (</w:t>
      </w:r>
      <w:smartTag w:uri="urn:schemas-microsoft-com:office:smarttags" w:element="metricconverter">
        <w:smartTagPr>
          <w:attr w:name="ProductID" w:val="126.435 χιλ."/>
        </w:smartTagPr>
        <w:r w:rsidRPr="0000418E">
          <w:rPr>
            <w:lang w:val="el-GR"/>
          </w:rPr>
          <w:t>126.435 χιλ.</w:t>
        </w:r>
      </w:smartTag>
      <w:r w:rsidRPr="0000418E">
        <w:rPr>
          <w:lang w:val="el-GR"/>
        </w:rPr>
        <w:t xml:space="preserve"> ευρώ</w:t>
      </w:r>
      <w:r>
        <w:rPr>
          <w:lang w:val="el-GR"/>
        </w:rPr>
        <w:t>)</w:t>
      </w:r>
      <w:r w:rsidRPr="0000418E">
        <w:rPr>
          <w:lang w:val="el-GR"/>
        </w:rPr>
        <w:t>.</w:t>
      </w:r>
    </w:p>
    <w:p w:rsidR="00C63334" w:rsidRPr="0000418E" w:rsidRDefault="00C63334" w:rsidP="00C63334">
      <w:pPr>
        <w:spacing w:line="240" w:lineRule="auto"/>
        <w:jc w:val="both"/>
        <w:rPr>
          <w:lang w:val="el-GR"/>
        </w:rPr>
      </w:pPr>
    </w:p>
    <w:p w:rsidR="00C63334" w:rsidRPr="0000418E" w:rsidRDefault="00C63334" w:rsidP="00C63334">
      <w:pPr>
        <w:spacing w:line="240" w:lineRule="auto"/>
        <w:jc w:val="both"/>
        <w:rPr>
          <w:lang w:val="el-GR"/>
        </w:rPr>
      </w:pPr>
      <w:r w:rsidRPr="0000418E">
        <w:rPr>
          <w:lang w:val="el-GR"/>
        </w:rPr>
        <w:t>Επειδή ήδη η Εταιρεία στις 31/12/2011 είχε αρνητικά ίδια κεφάλαια, η Γενική Συνέλευση της Εταιρείας την 21/02/2012 αποφάσισε, την αύξηση του μετοχικού της κεφαλαίου κατά 89.999.998,66 ευρώ.</w:t>
      </w:r>
    </w:p>
    <w:p w:rsidR="00C63334" w:rsidRPr="0000418E" w:rsidRDefault="00C63334" w:rsidP="00C63334">
      <w:pPr>
        <w:spacing w:line="240" w:lineRule="auto"/>
        <w:jc w:val="both"/>
        <w:rPr>
          <w:lang w:val="el-GR"/>
        </w:rPr>
      </w:pPr>
      <w:r w:rsidRPr="0000418E">
        <w:rPr>
          <w:lang w:val="el-GR"/>
        </w:rPr>
        <w:t xml:space="preserve">Η συγκεκριμένη αύξηση δεν πραγματοποιήθηκε, λόγω των εξελίξεων στη μητρική Αγροτική Τράπεζα. </w:t>
      </w:r>
    </w:p>
    <w:p w:rsidR="00C63334" w:rsidRPr="0000418E" w:rsidRDefault="00C63334" w:rsidP="00C63334">
      <w:pPr>
        <w:spacing w:line="240" w:lineRule="auto"/>
        <w:jc w:val="both"/>
        <w:rPr>
          <w:lang w:val="el-GR"/>
        </w:rPr>
      </w:pPr>
    </w:p>
    <w:p w:rsidR="00C63334" w:rsidRPr="0000418E" w:rsidRDefault="00C63334" w:rsidP="00C63334">
      <w:pPr>
        <w:spacing w:line="240" w:lineRule="auto"/>
        <w:jc w:val="both"/>
        <w:rPr>
          <w:lang w:val="el-GR"/>
        </w:rPr>
      </w:pPr>
      <w:r w:rsidRPr="0000418E">
        <w:rPr>
          <w:lang w:val="el-GR"/>
        </w:rPr>
        <w:t xml:space="preserve">Στις 27/7/2012, η Επιτροπή Πιστωτικών και Ασφαλιστικών θεμάτων της Τράπεζας της Ελλάδος </w:t>
      </w:r>
      <w:r w:rsidR="00793955">
        <w:rPr>
          <w:lang w:val="el-GR"/>
        </w:rPr>
        <w:t xml:space="preserve">με την απόφαση 46/1/27.7.12 </w:t>
      </w:r>
      <w:r w:rsidRPr="0000418E">
        <w:rPr>
          <w:lang w:val="el-GR"/>
        </w:rPr>
        <w:t>ανακάλεσε την άδεια λειτουργίας και έθεσε σε ειδική εκκαθάριση την Αγροτική Τράπεζα της Ελλάδος</w:t>
      </w:r>
      <w:r w:rsidR="00E01024">
        <w:rPr>
          <w:lang w:val="el-GR"/>
        </w:rPr>
        <w:t xml:space="preserve"> («ΑΤΕ»)</w:t>
      </w:r>
      <w:r w:rsidRPr="0000418E">
        <w:rPr>
          <w:lang w:val="el-GR"/>
        </w:rPr>
        <w:t xml:space="preserve">, στην </w:t>
      </w:r>
      <w:r w:rsidR="00972F90">
        <w:rPr>
          <w:lang w:val="el-GR"/>
        </w:rPr>
        <w:t xml:space="preserve">κεφαλαιακή και χρηματοδοτική στήριξη της οποίας </w:t>
      </w:r>
      <w:r w:rsidRPr="0000418E">
        <w:rPr>
          <w:lang w:val="el-GR"/>
        </w:rPr>
        <w:t>οποία βασιζόταν η Εταιρεία.</w:t>
      </w:r>
    </w:p>
    <w:p w:rsidR="00C63334" w:rsidRPr="0000418E" w:rsidRDefault="00C63334" w:rsidP="00C63334">
      <w:pPr>
        <w:spacing w:line="240" w:lineRule="auto"/>
        <w:jc w:val="both"/>
        <w:rPr>
          <w:lang w:val="el-GR"/>
        </w:rPr>
      </w:pPr>
    </w:p>
    <w:p w:rsidR="00C63334" w:rsidRPr="0000418E" w:rsidRDefault="00C63334" w:rsidP="00C63334">
      <w:pPr>
        <w:spacing w:line="240" w:lineRule="auto"/>
        <w:jc w:val="both"/>
        <w:rPr>
          <w:lang w:val="el-GR"/>
        </w:rPr>
      </w:pPr>
      <w:r w:rsidRPr="0000418E">
        <w:rPr>
          <w:lang w:val="el-GR"/>
        </w:rPr>
        <w:t xml:space="preserve">Περαιτέρω, σύμφωνα με απόφαση της Επιτροπής Μέτρων Εξυγίανσης της Τράπεζας της Ελλάδος </w:t>
      </w:r>
      <w:r w:rsidR="00146CD4">
        <w:rPr>
          <w:lang w:val="el-GR"/>
        </w:rPr>
        <w:t xml:space="preserve">(ΦΕΚ 2209/27.07.12) </w:t>
      </w:r>
      <w:r w:rsidRPr="0000418E">
        <w:rPr>
          <w:lang w:val="el-GR"/>
        </w:rPr>
        <w:t>αναφορικά με τη μεταβίβαση περιουσιακών στοιχείων της Αγροτικής Τράπεζας της Ελλάδος στην Τράπεζα Πειραιώς, οι μετοχές της Εταιρείας διατηρούνται υπό τη δικαιοκτησία της ΑΤΕ.</w:t>
      </w:r>
    </w:p>
    <w:p w:rsidR="00C63334" w:rsidRPr="0000418E" w:rsidRDefault="00C63334" w:rsidP="00C63334">
      <w:pPr>
        <w:spacing w:line="240" w:lineRule="auto"/>
        <w:jc w:val="both"/>
        <w:rPr>
          <w:lang w:val="el-GR"/>
        </w:rPr>
      </w:pPr>
    </w:p>
    <w:p w:rsidR="00C63334" w:rsidRPr="0000418E" w:rsidRDefault="00C63334" w:rsidP="00C63334">
      <w:pPr>
        <w:autoSpaceDE w:val="0"/>
        <w:autoSpaceDN w:val="0"/>
        <w:adjustRightInd w:val="0"/>
        <w:jc w:val="both"/>
        <w:rPr>
          <w:szCs w:val="22"/>
          <w:lang w:val="el-GR" w:eastAsia="el-GR"/>
        </w:rPr>
      </w:pPr>
      <w:r w:rsidRPr="0000418E">
        <w:rPr>
          <w:szCs w:val="22"/>
          <w:lang w:val="el-GR" w:eastAsia="el-GR"/>
        </w:rPr>
        <w:t>Τα παραπάνω γεγονότα έφεραν σε δυσχερή χρηματοοικονομική θέση την Εταιρεία αφού υπάρχει αδυναμία του μετόχου της να παράσχει την κεφαλαιακή στήριξη που απαιτείται για την απρόσκοπτη συνέχιση της επιχειρηματικής δραστηριότητας της Εταιρείας.</w:t>
      </w:r>
    </w:p>
    <w:p w:rsidR="00C63334" w:rsidRPr="0000418E" w:rsidRDefault="00C63334" w:rsidP="00C63334">
      <w:pPr>
        <w:spacing w:line="240" w:lineRule="auto"/>
        <w:jc w:val="both"/>
        <w:rPr>
          <w:lang w:val="el-GR"/>
        </w:rPr>
      </w:pPr>
    </w:p>
    <w:p w:rsidR="00C63334" w:rsidRPr="0000418E" w:rsidRDefault="00C63334" w:rsidP="00C63334">
      <w:pPr>
        <w:spacing w:line="240" w:lineRule="auto"/>
        <w:jc w:val="both"/>
        <w:rPr>
          <w:lang w:val="el-GR"/>
        </w:rPr>
      </w:pPr>
      <w:r w:rsidRPr="0000418E">
        <w:rPr>
          <w:lang w:val="el-GR"/>
        </w:rPr>
        <w:t xml:space="preserve">Μετά τα παραπάνω, το Διοικητικό Συμβούλιο της Εταιρείας στην συνεδρίασή του στις 31/12/2012 συγκάλεσε έκτακτη Γενική Συνέλευση με θέματα: </w:t>
      </w:r>
    </w:p>
    <w:p w:rsidR="00C63334" w:rsidRPr="0000418E" w:rsidRDefault="00C63334" w:rsidP="00C63334">
      <w:pPr>
        <w:spacing w:line="240" w:lineRule="auto"/>
        <w:jc w:val="both"/>
        <w:rPr>
          <w:lang w:val="el-GR"/>
        </w:rPr>
      </w:pPr>
    </w:p>
    <w:p w:rsidR="00C63334" w:rsidRPr="0000418E" w:rsidRDefault="00C63334" w:rsidP="00C63334">
      <w:pPr>
        <w:spacing w:line="240" w:lineRule="auto"/>
        <w:jc w:val="both"/>
        <w:rPr>
          <w:lang w:val="el-GR"/>
        </w:rPr>
      </w:pPr>
      <w:r w:rsidRPr="0000418E">
        <w:rPr>
          <w:lang w:val="el-GR"/>
        </w:rPr>
        <w:t xml:space="preserve">1. Λύση της Εταιρείας και </w:t>
      </w:r>
    </w:p>
    <w:p w:rsidR="00C63334" w:rsidRPr="0000418E" w:rsidRDefault="00C63334" w:rsidP="00C63334">
      <w:pPr>
        <w:spacing w:line="240" w:lineRule="auto"/>
        <w:jc w:val="both"/>
        <w:rPr>
          <w:lang w:val="el-GR"/>
        </w:rPr>
      </w:pPr>
      <w:r w:rsidRPr="0000418E">
        <w:rPr>
          <w:lang w:val="el-GR"/>
        </w:rPr>
        <w:t>2. Θέση της Εταιρείας σε Εκκαθάριση και διορισμός Εκκαθαριστών.</w:t>
      </w:r>
    </w:p>
    <w:p w:rsidR="00C63334" w:rsidRPr="0000418E" w:rsidRDefault="00C63334" w:rsidP="00C63334">
      <w:pPr>
        <w:spacing w:line="240" w:lineRule="auto"/>
        <w:jc w:val="both"/>
        <w:rPr>
          <w:lang w:val="el-GR"/>
        </w:rPr>
      </w:pPr>
    </w:p>
    <w:p w:rsidR="00C63334" w:rsidRPr="0000418E" w:rsidRDefault="00C63334" w:rsidP="00C63334">
      <w:pPr>
        <w:spacing w:line="240" w:lineRule="auto"/>
        <w:jc w:val="both"/>
        <w:rPr>
          <w:lang w:val="el-GR"/>
        </w:rPr>
      </w:pPr>
      <w:r w:rsidRPr="0000418E">
        <w:rPr>
          <w:lang w:val="el-GR"/>
        </w:rPr>
        <w:t xml:space="preserve">Η Έκτακτη Γενική Συνέλευση της 14/01/2013, ομόφωνα αποφάσισε να μη συζητηθεί και ληφθεί απόφαση επί των παραπάνω θεμάτων, τα οποία θα συζητηθούν και θα ληφθούν αποφάσεις εν ευθέτω χρόνο σε άλλη συνεδρίαση Έκτακτης Γενικής Συνέλευσης.  </w:t>
      </w:r>
    </w:p>
    <w:p w:rsidR="00C63334" w:rsidRPr="0000418E" w:rsidRDefault="00C63334" w:rsidP="00C63334">
      <w:pPr>
        <w:spacing w:line="240" w:lineRule="auto"/>
        <w:jc w:val="both"/>
        <w:rPr>
          <w:lang w:val="el-GR"/>
        </w:rPr>
      </w:pPr>
    </w:p>
    <w:p w:rsidR="00C63334" w:rsidRPr="0000418E" w:rsidRDefault="00C63334" w:rsidP="00C63334">
      <w:pPr>
        <w:spacing w:line="240" w:lineRule="auto"/>
        <w:jc w:val="both"/>
        <w:rPr>
          <w:b/>
          <w:szCs w:val="22"/>
          <w:lang w:val="el-GR"/>
        </w:rPr>
      </w:pPr>
      <w:r w:rsidRPr="0000418E">
        <w:rPr>
          <w:b/>
          <w:szCs w:val="22"/>
          <w:lang w:val="el-GR"/>
        </w:rPr>
        <w:t>Ομολογιακά δάνεια</w:t>
      </w:r>
    </w:p>
    <w:p w:rsidR="00C63334" w:rsidRPr="0000418E" w:rsidRDefault="00C63334" w:rsidP="00C63334">
      <w:pPr>
        <w:jc w:val="both"/>
        <w:rPr>
          <w:szCs w:val="22"/>
          <w:lang w:val="el-GR"/>
        </w:rPr>
      </w:pPr>
    </w:p>
    <w:p w:rsidR="00C63334" w:rsidRPr="00B9353F" w:rsidRDefault="00B9353F" w:rsidP="00C63334">
      <w:pPr>
        <w:jc w:val="both"/>
        <w:rPr>
          <w:szCs w:val="22"/>
          <w:lang w:val="el-GR"/>
        </w:rPr>
      </w:pPr>
      <w:r>
        <w:rPr>
          <w:szCs w:val="22"/>
          <w:lang w:val="el-GR"/>
        </w:rPr>
        <w:t>Η</w:t>
      </w:r>
      <w:r w:rsidR="00C63334" w:rsidRPr="0000418E">
        <w:rPr>
          <w:szCs w:val="22"/>
          <w:lang w:val="el-GR"/>
        </w:rPr>
        <w:t xml:space="preserve"> εταιρεία μας προχώρησε στην έκδοση ομολογιακών δανείων τα οποία ανέλαβε την ανάληψη, οργ</w:t>
      </w:r>
      <w:r w:rsidR="00814062">
        <w:rPr>
          <w:szCs w:val="22"/>
          <w:lang w:val="el-GR"/>
        </w:rPr>
        <w:t>άνωση και διαχείρισή τους η ΑΤΕ</w:t>
      </w:r>
      <w:r w:rsidR="00C63334" w:rsidRPr="0000418E">
        <w:rPr>
          <w:szCs w:val="22"/>
          <w:lang w:val="el-GR"/>
        </w:rPr>
        <w:t>. Συγκεκριμένα:</w:t>
      </w:r>
    </w:p>
    <w:p w:rsidR="00C63334" w:rsidRPr="00B9353F" w:rsidRDefault="00C63334" w:rsidP="00C63334">
      <w:pPr>
        <w:jc w:val="both"/>
        <w:rPr>
          <w:szCs w:val="22"/>
          <w:lang w:val="el-GR"/>
        </w:rPr>
      </w:pPr>
    </w:p>
    <w:p w:rsidR="00C63334" w:rsidRPr="0000418E" w:rsidRDefault="00C63334" w:rsidP="00C63334">
      <w:pPr>
        <w:numPr>
          <w:ilvl w:val="0"/>
          <w:numId w:val="30"/>
        </w:numPr>
        <w:jc w:val="both"/>
        <w:rPr>
          <w:szCs w:val="22"/>
          <w:lang w:val="el-GR"/>
        </w:rPr>
      </w:pPr>
      <w:r w:rsidRPr="0000418E">
        <w:rPr>
          <w:szCs w:val="22"/>
          <w:lang w:val="el-GR"/>
        </w:rPr>
        <w:t>Κοινό ομολογι</w:t>
      </w:r>
      <w:r w:rsidR="00082F22">
        <w:rPr>
          <w:szCs w:val="22"/>
          <w:lang w:val="el-GR"/>
        </w:rPr>
        <w:t xml:space="preserve">ακό δάνειο ποσού 260 εκατ. Ευρώ, </w:t>
      </w:r>
      <w:r w:rsidR="00082F22" w:rsidRPr="0000418E">
        <w:rPr>
          <w:szCs w:val="22"/>
          <w:lang w:val="el-GR"/>
        </w:rPr>
        <w:t>με σταδιακή εξόφληση του κεφαλαίου</w:t>
      </w:r>
      <w:r w:rsidR="00082F22">
        <w:rPr>
          <w:szCs w:val="22"/>
          <w:lang w:val="el-GR"/>
        </w:rPr>
        <w:t xml:space="preserve">, </w:t>
      </w:r>
      <w:r w:rsidRPr="0000418E">
        <w:rPr>
          <w:szCs w:val="22"/>
          <w:lang w:val="el-GR"/>
        </w:rPr>
        <w:t>με σκοπό την αναχρηματοδότηση υφιστάμενου ομολογιακού δανείου ποσού 160 εκατ. ευρώ και λοιπών οφελών της καθώς επίσης την εξυπηρέτηση</w:t>
      </w:r>
      <w:r w:rsidR="00082F22">
        <w:rPr>
          <w:szCs w:val="22"/>
          <w:lang w:val="el-GR"/>
        </w:rPr>
        <w:t xml:space="preserve"> γενικών επιχειρηματικών σκοπών</w:t>
      </w:r>
      <w:r w:rsidRPr="0000418E">
        <w:rPr>
          <w:szCs w:val="22"/>
          <w:lang w:val="el-GR"/>
        </w:rPr>
        <w:t xml:space="preserve">. Επιτόκιο </w:t>
      </w:r>
      <w:r w:rsidRPr="0000418E">
        <w:rPr>
          <w:szCs w:val="22"/>
        </w:rPr>
        <w:t>Euribor</w:t>
      </w:r>
      <w:r w:rsidRPr="0000418E">
        <w:rPr>
          <w:szCs w:val="22"/>
          <w:lang w:val="el-GR"/>
        </w:rPr>
        <w:t xml:space="preserve"> 3μήνου προσαυξημένο κατά 1%. Στις 31/12/2012 το υπόλοιπο του συγκεκριμένου δανείου ήταν 225 εκατ. ευρώ.</w:t>
      </w:r>
    </w:p>
    <w:p w:rsidR="00C63334" w:rsidRPr="0000418E" w:rsidRDefault="00C63334" w:rsidP="00C63334">
      <w:pPr>
        <w:jc w:val="both"/>
        <w:rPr>
          <w:szCs w:val="22"/>
          <w:lang w:val="el-GR"/>
        </w:rPr>
      </w:pPr>
    </w:p>
    <w:p w:rsidR="00C63334" w:rsidRPr="0000418E" w:rsidRDefault="00C63334" w:rsidP="00C63334">
      <w:pPr>
        <w:numPr>
          <w:ilvl w:val="0"/>
          <w:numId w:val="30"/>
        </w:numPr>
        <w:jc w:val="both"/>
        <w:rPr>
          <w:szCs w:val="22"/>
          <w:lang w:val="el-GR"/>
        </w:rPr>
      </w:pPr>
      <w:r w:rsidRPr="0000418E">
        <w:rPr>
          <w:szCs w:val="22"/>
          <w:lang w:val="el-GR"/>
        </w:rPr>
        <w:t xml:space="preserve">Κοινό ομολογιακό δάνειο ποσού 138 εκατ. </w:t>
      </w:r>
      <w:r w:rsidRPr="0000418E">
        <w:rPr>
          <w:szCs w:val="22"/>
        </w:rPr>
        <w:t>CHF</w:t>
      </w:r>
      <w:r w:rsidR="00082F22">
        <w:rPr>
          <w:szCs w:val="22"/>
          <w:lang w:val="el-GR"/>
        </w:rPr>
        <w:t xml:space="preserve">, </w:t>
      </w:r>
      <w:r w:rsidR="00082F22" w:rsidRPr="0000418E">
        <w:rPr>
          <w:szCs w:val="22"/>
          <w:lang w:val="el-GR"/>
        </w:rPr>
        <w:t>με σταδιακή εξόφληση του κεφαλαίου</w:t>
      </w:r>
      <w:r w:rsidR="00082F22">
        <w:rPr>
          <w:szCs w:val="22"/>
          <w:lang w:val="el-GR"/>
        </w:rPr>
        <w:t xml:space="preserve">, </w:t>
      </w:r>
      <w:r w:rsidRPr="0000418E">
        <w:rPr>
          <w:szCs w:val="22"/>
          <w:lang w:val="el-GR"/>
        </w:rPr>
        <w:t xml:space="preserve">με σκοπό την αναχρηματοδότηση οφειλών της καθώς και την εξυπηρέτηση γενικών επιχειρηματικών σκοπών.. Επιτόκιο </w:t>
      </w:r>
      <w:r w:rsidRPr="0000418E">
        <w:rPr>
          <w:szCs w:val="22"/>
        </w:rPr>
        <w:t>Libor</w:t>
      </w:r>
      <w:r w:rsidRPr="0000418E">
        <w:rPr>
          <w:szCs w:val="22"/>
          <w:lang w:val="el-GR"/>
        </w:rPr>
        <w:t xml:space="preserve"> εξαμήνου του νομίσματος </w:t>
      </w:r>
      <w:r w:rsidRPr="0000418E">
        <w:rPr>
          <w:szCs w:val="22"/>
        </w:rPr>
        <w:t>CHF</w:t>
      </w:r>
      <w:r w:rsidRPr="0000418E">
        <w:rPr>
          <w:szCs w:val="22"/>
          <w:lang w:val="el-GR"/>
        </w:rPr>
        <w:t xml:space="preserve"> προσαυξημένο κατά 1,25%. Στις 31/12/2012 το υπόλοιπο του συγκεκριμένου δανείου ήταν 52,5 εκατ. </w:t>
      </w:r>
      <w:r w:rsidRPr="0000418E">
        <w:rPr>
          <w:szCs w:val="22"/>
        </w:rPr>
        <w:t>CHF.</w:t>
      </w:r>
    </w:p>
    <w:p w:rsidR="00C63334" w:rsidRPr="0000418E" w:rsidRDefault="00C63334" w:rsidP="00C63334">
      <w:pPr>
        <w:jc w:val="both"/>
        <w:rPr>
          <w:szCs w:val="22"/>
          <w:lang w:val="el-GR"/>
        </w:rPr>
      </w:pPr>
    </w:p>
    <w:p w:rsidR="00291CFE" w:rsidRDefault="00C63334" w:rsidP="00291CFE">
      <w:pPr>
        <w:numPr>
          <w:ilvl w:val="0"/>
          <w:numId w:val="30"/>
        </w:numPr>
        <w:jc w:val="both"/>
        <w:rPr>
          <w:szCs w:val="22"/>
          <w:lang w:val="el-GR"/>
        </w:rPr>
      </w:pPr>
      <w:r w:rsidRPr="0000418E">
        <w:rPr>
          <w:szCs w:val="22"/>
          <w:lang w:val="el-GR"/>
        </w:rPr>
        <w:t>Ομολογ</w:t>
      </w:r>
      <w:r w:rsidR="007D6C27">
        <w:rPr>
          <w:szCs w:val="22"/>
          <w:lang w:val="el-GR"/>
        </w:rPr>
        <w:t xml:space="preserve">ιακό δάνειο ποσού 75 εκατ. Ευρώ, </w:t>
      </w:r>
      <w:r w:rsidR="007D6C27" w:rsidRPr="0000418E">
        <w:rPr>
          <w:szCs w:val="22"/>
          <w:lang w:val="el-GR"/>
        </w:rPr>
        <w:t xml:space="preserve">με </w:t>
      </w:r>
      <w:r w:rsidR="007D6C27">
        <w:rPr>
          <w:szCs w:val="22"/>
          <w:lang w:val="el-GR"/>
        </w:rPr>
        <w:t xml:space="preserve">εξόφληση του κεφαλαίου στη λήξη, </w:t>
      </w:r>
      <w:r w:rsidRPr="0000418E">
        <w:rPr>
          <w:szCs w:val="22"/>
          <w:lang w:val="el-GR"/>
        </w:rPr>
        <w:t>με σκοπό την εξυπηρέτηση</w:t>
      </w:r>
      <w:r w:rsidR="003A3F72">
        <w:rPr>
          <w:szCs w:val="22"/>
          <w:lang w:val="el-GR"/>
        </w:rPr>
        <w:t xml:space="preserve"> γενικών επιχειρηματικών σκοπών</w:t>
      </w:r>
      <w:r w:rsidRPr="0000418E">
        <w:rPr>
          <w:szCs w:val="22"/>
          <w:lang w:val="el-GR"/>
        </w:rPr>
        <w:t xml:space="preserve">. Επιτόκιο </w:t>
      </w:r>
      <w:r w:rsidRPr="0000418E">
        <w:rPr>
          <w:szCs w:val="22"/>
        </w:rPr>
        <w:t>Euribor</w:t>
      </w:r>
      <w:r w:rsidRPr="0000418E">
        <w:rPr>
          <w:szCs w:val="22"/>
          <w:lang w:val="el-GR"/>
        </w:rPr>
        <w:t xml:space="preserve"> 3μήνου προσαυξημένο κατά 2%. Στις 31/12/2012 το υπόλοιπο του συγκεκριμένου δανείου παρέμενε 75 εκατ. ευρώ.</w:t>
      </w:r>
    </w:p>
    <w:p w:rsidR="00291CFE" w:rsidRDefault="00291CFE" w:rsidP="00291CFE">
      <w:pPr>
        <w:pStyle w:val="ListParagraph"/>
        <w:rPr>
          <w:szCs w:val="22"/>
          <w:lang w:val="el-GR"/>
        </w:rPr>
      </w:pPr>
    </w:p>
    <w:p w:rsidR="00C63334" w:rsidRPr="00291CFE" w:rsidRDefault="005B060D" w:rsidP="00291CFE">
      <w:pPr>
        <w:numPr>
          <w:ilvl w:val="0"/>
          <w:numId w:val="30"/>
        </w:numPr>
        <w:jc w:val="both"/>
        <w:rPr>
          <w:szCs w:val="22"/>
          <w:lang w:val="el-GR"/>
        </w:rPr>
      </w:pPr>
      <w:r>
        <w:rPr>
          <w:szCs w:val="22"/>
          <w:lang w:val="el-GR"/>
        </w:rPr>
        <w:t>Ο</w:t>
      </w:r>
      <w:r w:rsidR="00C63334" w:rsidRPr="00291CFE">
        <w:rPr>
          <w:szCs w:val="17"/>
          <w:lang w:val="el-GR"/>
        </w:rPr>
        <w:t>μολογιακό δάνειο 65 εκατ. ευρώ, διάρκειας δεκαπέντε ετών, το οποίο στο σύνολό του αγοράσθηκε στην ονομαστική τιμή εκδόσεώς του από την μητρική ΑΤΕ</w:t>
      </w:r>
      <w:r w:rsidR="00C63334" w:rsidRPr="00291CFE">
        <w:rPr>
          <w:szCs w:val="17"/>
        </w:rPr>
        <w:t>bank</w:t>
      </w:r>
      <w:r w:rsidR="00C63334" w:rsidRPr="00291CFE">
        <w:rPr>
          <w:szCs w:val="17"/>
          <w:lang w:val="el-GR"/>
        </w:rPr>
        <w:t xml:space="preserve">. </w:t>
      </w:r>
      <w:r w:rsidR="00C63334" w:rsidRPr="00291CFE">
        <w:rPr>
          <w:szCs w:val="22"/>
          <w:lang w:val="el-GR"/>
        </w:rPr>
        <w:t>Στις 31/12/2012 το υπόλοιπο του συγκεκριμένου δανείου παρέμενε 43 εκατ. ευρώ.</w:t>
      </w:r>
    </w:p>
    <w:p w:rsidR="00C63334" w:rsidRPr="0000418E" w:rsidRDefault="00C63334" w:rsidP="00C63334">
      <w:pPr>
        <w:jc w:val="both"/>
        <w:rPr>
          <w:szCs w:val="22"/>
          <w:lang w:val="el-GR"/>
        </w:rPr>
      </w:pPr>
    </w:p>
    <w:p w:rsidR="00C63334" w:rsidRPr="0000418E" w:rsidRDefault="00C63334" w:rsidP="00C63334">
      <w:pPr>
        <w:ind w:left="360"/>
        <w:jc w:val="both"/>
        <w:rPr>
          <w:szCs w:val="22"/>
          <w:lang w:val="el-GR"/>
        </w:rPr>
      </w:pPr>
      <w:r w:rsidRPr="0000418E">
        <w:rPr>
          <w:szCs w:val="22"/>
          <w:lang w:val="el-GR"/>
        </w:rPr>
        <w:t xml:space="preserve">Πληροφορίες για τα ομολογιακά δάνεια της </w:t>
      </w:r>
      <w:smartTag w:uri="urn:schemas-microsoft-com:office:smarttags" w:element="PersonName">
        <w:r w:rsidRPr="0000418E">
          <w:rPr>
            <w:szCs w:val="22"/>
          </w:rPr>
          <w:t>ATE</w:t>
        </w:r>
      </w:smartTag>
      <w:r w:rsidRPr="0000418E">
        <w:rPr>
          <w:szCs w:val="22"/>
          <w:lang w:val="el-GR"/>
        </w:rPr>
        <w:t xml:space="preserve"> </w:t>
      </w:r>
      <w:r w:rsidRPr="0000418E">
        <w:rPr>
          <w:szCs w:val="22"/>
        </w:rPr>
        <w:t>LEASING</w:t>
      </w:r>
      <w:r w:rsidRPr="0000418E">
        <w:rPr>
          <w:szCs w:val="22"/>
          <w:lang w:val="el-GR"/>
        </w:rPr>
        <w:t xml:space="preserve"> αναφέρονται αναλυτικά στην Σημείωση 15.</w:t>
      </w:r>
    </w:p>
    <w:p w:rsidR="00C63334" w:rsidRPr="00C63334" w:rsidRDefault="00C63334" w:rsidP="00C63334">
      <w:pPr>
        <w:ind w:left="360"/>
        <w:jc w:val="both"/>
        <w:rPr>
          <w:szCs w:val="22"/>
          <w:lang w:val="el-GR"/>
        </w:rPr>
      </w:pPr>
    </w:p>
    <w:p w:rsidR="00C63334" w:rsidRPr="00C63334" w:rsidRDefault="00C63334" w:rsidP="00C63334">
      <w:pPr>
        <w:ind w:left="360"/>
        <w:jc w:val="both"/>
        <w:rPr>
          <w:szCs w:val="22"/>
          <w:lang w:val="el-GR"/>
        </w:rPr>
      </w:pPr>
    </w:p>
    <w:p w:rsidR="00C63334" w:rsidRPr="0000418E" w:rsidRDefault="00C63334" w:rsidP="00C63334">
      <w:pPr>
        <w:jc w:val="both"/>
        <w:rPr>
          <w:b/>
          <w:szCs w:val="22"/>
          <w:lang w:val="el-GR"/>
        </w:rPr>
      </w:pPr>
      <w:r w:rsidRPr="0000418E">
        <w:rPr>
          <w:b/>
          <w:szCs w:val="22"/>
          <w:lang w:val="el-GR"/>
        </w:rPr>
        <w:t>Πορεία εταιρείας εντός του 2012</w:t>
      </w:r>
    </w:p>
    <w:p w:rsidR="00C63334" w:rsidRPr="0000418E" w:rsidRDefault="00C63334" w:rsidP="00C63334">
      <w:pPr>
        <w:jc w:val="both"/>
        <w:rPr>
          <w:b/>
          <w:szCs w:val="22"/>
          <w:lang w:val="el-GR"/>
        </w:rPr>
      </w:pPr>
    </w:p>
    <w:p w:rsidR="000A2885" w:rsidRDefault="00C63334" w:rsidP="00C63334">
      <w:pPr>
        <w:spacing w:line="240" w:lineRule="auto"/>
        <w:jc w:val="both"/>
        <w:rPr>
          <w:lang w:val="el-GR"/>
        </w:rPr>
      </w:pPr>
      <w:r w:rsidRPr="0000418E">
        <w:rPr>
          <w:lang w:val="el-GR"/>
        </w:rPr>
        <w:t xml:space="preserve">Η Εταιρεία στο πρώτο εξάμηνο και μέχρι την 27/7/2012 υλοποιούσε κατά βάση το πρόγραμμά της σε συμβάσεις χρηματοδοτικής μίσθωσης αγροτών για την κατασκευή Φωτοβολταϊκών πάρκων. </w:t>
      </w:r>
    </w:p>
    <w:p w:rsidR="000A2885" w:rsidRDefault="000A2885" w:rsidP="00C63334">
      <w:pPr>
        <w:spacing w:line="240" w:lineRule="auto"/>
        <w:jc w:val="both"/>
        <w:rPr>
          <w:lang w:val="el-GR"/>
        </w:rPr>
      </w:pPr>
    </w:p>
    <w:p w:rsidR="000A2885" w:rsidRPr="0000418E" w:rsidRDefault="000A2885" w:rsidP="000A2885">
      <w:pPr>
        <w:spacing w:line="240" w:lineRule="auto"/>
        <w:jc w:val="both"/>
        <w:rPr>
          <w:lang w:val="el-GR"/>
        </w:rPr>
      </w:pPr>
      <w:r w:rsidRPr="0000418E">
        <w:rPr>
          <w:lang w:val="el-GR"/>
        </w:rPr>
        <w:t xml:space="preserve">Στις 27/7/2012, η Επιτροπή Πιστωτικών και Ασφαλιστικών θεμάτων της Τράπεζας της Ελλάδος </w:t>
      </w:r>
      <w:r>
        <w:rPr>
          <w:lang w:val="el-GR"/>
        </w:rPr>
        <w:t xml:space="preserve">με την απόφαση 46/1/27.7.12 </w:t>
      </w:r>
      <w:r w:rsidRPr="0000418E">
        <w:rPr>
          <w:lang w:val="el-GR"/>
        </w:rPr>
        <w:t>ανακάλεσε την άδεια λειτουργίας και έθεσε σε ειδική εκκαθάριση την Αγροτική Τράπεζα της Ελλάδος</w:t>
      </w:r>
      <w:r>
        <w:rPr>
          <w:lang w:val="el-GR"/>
        </w:rPr>
        <w:t xml:space="preserve"> («ΑΤΕ»)</w:t>
      </w:r>
      <w:r w:rsidRPr="0000418E">
        <w:rPr>
          <w:lang w:val="el-GR"/>
        </w:rPr>
        <w:t xml:space="preserve">, στην </w:t>
      </w:r>
      <w:r>
        <w:rPr>
          <w:lang w:val="el-GR"/>
        </w:rPr>
        <w:t xml:space="preserve">κεφαλαιακή και χρηματοδοτική στήριξη της οποίας </w:t>
      </w:r>
      <w:r w:rsidRPr="0000418E">
        <w:rPr>
          <w:lang w:val="el-GR"/>
        </w:rPr>
        <w:t>οποία βασιζόταν η Εταιρεία.</w:t>
      </w:r>
    </w:p>
    <w:p w:rsidR="000A2885" w:rsidRPr="0000418E" w:rsidRDefault="000A2885" w:rsidP="00C63334">
      <w:pPr>
        <w:spacing w:line="240" w:lineRule="auto"/>
        <w:jc w:val="both"/>
        <w:rPr>
          <w:lang w:val="el-GR"/>
        </w:rPr>
      </w:pPr>
    </w:p>
    <w:p w:rsidR="000A2885" w:rsidRPr="0000418E" w:rsidRDefault="000A2885" w:rsidP="000A2885">
      <w:pPr>
        <w:spacing w:line="240" w:lineRule="auto"/>
        <w:jc w:val="both"/>
        <w:rPr>
          <w:lang w:val="el-GR"/>
        </w:rPr>
      </w:pPr>
      <w:r w:rsidRPr="0000418E">
        <w:rPr>
          <w:lang w:val="el-GR"/>
        </w:rPr>
        <w:t xml:space="preserve">Περαιτέρω, σύμφωνα με απόφαση της Επιτροπής Μέτρων Εξυγίανσης της Τράπεζας της Ελλάδος </w:t>
      </w:r>
      <w:r>
        <w:rPr>
          <w:lang w:val="el-GR"/>
        </w:rPr>
        <w:t xml:space="preserve">(ΦΕΚ 2209/27.07.12) </w:t>
      </w:r>
      <w:r w:rsidRPr="0000418E">
        <w:rPr>
          <w:lang w:val="el-GR"/>
        </w:rPr>
        <w:t>αναφορικά με τη μεταβίβαση περιουσιακών στοιχείων της Αγροτικής Τράπεζας της Ελλάδος στην Τράπεζα Πειραιώς, οι μετοχές της Εταιρείας διατηρούνται υπό τη δικαιοκτησία της ΑΤΕ.</w:t>
      </w:r>
    </w:p>
    <w:p w:rsidR="000A2885" w:rsidRPr="0000418E" w:rsidRDefault="000A2885" w:rsidP="00C63334">
      <w:pPr>
        <w:spacing w:line="240" w:lineRule="auto"/>
        <w:jc w:val="both"/>
        <w:rPr>
          <w:lang w:val="el-GR"/>
        </w:rPr>
      </w:pPr>
    </w:p>
    <w:p w:rsidR="00C63334" w:rsidRPr="0000418E" w:rsidRDefault="00C63334" w:rsidP="00C63334">
      <w:pPr>
        <w:spacing w:line="240" w:lineRule="auto"/>
        <w:jc w:val="both"/>
        <w:rPr>
          <w:lang w:val="el-GR"/>
        </w:rPr>
      </w:pPr>
      <w:r w:rsidRPr="0000418E">
        <w:rPr>
          <w:lang w:val="el-GR"/>
        </w:rPr>
        <w:t xml:space="preserve">Ενόψει των απρόβλεπτων αυτών εξελίξεων και της συνακόλουθης αντικειμενικής αδυναμίας χρηματοδότησης φωτοβολταϊκών πάρκων, για την προστασία των συμφερόντων της </w:t>
      </w:r>
      <w:r>
        <w:rPr>
          <w:lang w:val="el-GR"/>
        </w:rPr>
        <w:t>Ε</w:t>
      </w:r>
      <w:r w:rsidRPr="0000418E">
        <w:rPr>
          <w:lang w:val="el-GR"/>
        </w:rPr>
        <w:t xml:space="preserve">ταιρείας και την αποτροπή δυσμενών συνεπειών σε βάρος των πελατών φωτοβολταϊκών πάρκων, που κατασκευάζουν ήδη πάρκα ή τους είχε εγκριθεί ή ανέμεναν την έγκριση σχετικού αιτήματός τους, η </w:t>
      </w:r>
      <w:r>
        <w:rPr>
          <w:lang w:val="el-GR"/>
        </w:rPr>
        <w:t>Ε</w:t>
      </w:r>
      <w:r w:rsidRPr="0000418E">
        <w:rPr>
          <w:lang w:val="el-GR"/>
        </w:rPr>
        <w:t>ταιρεία με απόφαση του Διοικητικού Συμβουλίου της και σε συνεργασία με το μοναδικό μέτοχο (υπό ειδική εκκαθάριση ΑΤΕ), αντιμετώπισε οργανωμένα, με σύνεση και αποτελεσματικότητα το παραπάνω σοβαρό ζήτημα που ενέσκηψε μετά τις 27/07/2012.</w:t>
      </w:r>
    </w:p>
    <w:p w:rsidR="00C63334" w:rsidRPr="0000418E" w:rsidRDefault="00C63334" w:rsidP="00C63334">
      <w:pPr>
        <w:spacing w:line="240" w:lineRule="auto"/>
        <w:jc w:val="both"/>
        <w:rPr>
          <w:lang w:val="el-GR"/>
        </w:rPr>
      </w:pPr>
      <w:r w:rsidRPr="0000418E">
        <w:rPr>
          <w:lang w:val="el-GR"/>
        </w:rPr>
        <w:lastRenderedPageBreak/>
        <w:t>Προς τούτο έγιναν συνοπτικά τα εξής:</w:t>
      </w:r>
    </w:p>
    <w:p w:rsidR="00C63334" w:rsidRPr="00986104" w:rsidRDefault="00C63334" w:rsidP="00C63334">
      <w:pPr>
        <w:numPr>
          <w:ilvl w:val="0"/>
          <w:numId w:val="34"/>
        </w:numPr>
        <w:spacing w:line="240" w:lineRule="auto"/>
        <w:jc w:val="both"/>
        <w:rPr>
          <w:lang w:val="el-GR"/>
        </w:rPr>
      </w:pPr>
      <w:r w:rsidRPr="00986104">
        <w:rPr>
          <w:lang w:val="el-GR"/>
        </w:rPr>
        <w:t>Ειδοποιήθηκαν οι υποψήφιοι πελάτες που είχαν υποβάλει αίτημα χρηματοδότησης στην Εταιρεία, το οποίο εκκρεμούσε, να απευθυνθούν έγκαιρα σε άλλους φορείς για τις χρηματοδοτήσεις τους  (περίπου 3</w:t>
      </w:r>
      <w:r w:rsidRPr="00D5105E">
        <w:rPr>
          <w:lang w:val="el-GR"/>
        </w:rPr>
        <w:t>86</w:t>
      </w:r>
      <w:r w:rsidRPr="00986104">
        <w:rPr>
          <w:lang w:val="el-GR"/>
        </w:rPr>
        <w:t xml:space="preserve"> περιπτώσεις).</w:t>
      </w:r>
    </w:p>
    <w:p w:rsidR="00C63334" w:rsidRPr="00986104" w:rsidRDefault="00C63334" w:rsidP="00C63334">
      <w:pPr>
        <w:numPr>
          <w:ilvl w:val="0"/>
          <w:numId w:val="34"/>
        </w:numPr>
        <w:spacing w:line="240" w:lineRule="auto"/>
        <w:jc w:val="both"/>
        <w:rPr>
          <w:lang w:val="el-GR"/>
        </w:rPr>
      </w:pPr>
      <w:r w:rsidRPr="00986104">
        <w:rPr>
          <w:lang w:val="el-GR"/>
        </w:rPr>
        <w:t>Καταγγέλθηκαν όλες οι συμβάσεις χρηματοδότησης φωτοβολταϊκών πάρκων που είχαν υπογραφεί, δίχως να έχει γίνει έναρξη εργασιών κατασκευής τους (177 περιπτώσεις).</w:t>
      </w:r>
    </w:p>
    <w:p w:rsidR="00C63334" w:rsidRPr="0000418E" w:rsidRDefault="00C63334" w:rsidP="00C63334">
      <w:pPr>
        <w:numPr>
          <w:ilvl w:val="0"/>
          <w:numId w:val="34"/>
        </w:numPr>
        <w:spacing w:line="240" w:lineRule="auto"/>
        <w:jc w:val="both"/>
        <w:rPr>
          <w:lang w:val="el-GR"/>
        </w:rPr>
      </w:pPr>
      <w:r w:rsidRPr="009B695E">
        <w:rPr>
          <w:lang w:val="el-GR"/>
        </w:rPr>
        <w:t xml:space="preserve">Μέσω διαδικασίας εκδήλωσης ενδιαφέροντος και με </w:t>
      </w:r>
      <w:r>
        <w:rPr>
          <w:lang w:val="el-GR"/>
        </w:rPr>
        <w:t xml:space="preserve">απόλυτα συντονισμένες και νομικά ενδεδειγμένες ενέργειες εκχωρήθηκαν – μεταβιβάστηκαν στην Πειραιώς </w:t>
      </w:r>
      <w:r w:rsidRPr="0000418E">
        <w:t>Leasing</w:t>
      </w:r>
      <w:r w:rsidRPr="0000418E">
        <w:rPr>
          <w:lang w:val="el-GR"/>
        </w:rPr>
        <w:t xml:space="preserve"> Α.Ε. τα δικαιώματα και υποχρεώσεις 166 συνολικά φακέλων συμβάσεων φωτοβολταϊκών πάρκων, που βρίσκονταν στο στάδιο της κατασκευής ή ολοκλήρωσης της κατασκευής τους και</w:t>
      </w:r>
    </w:p>
    <w:p w:rsidR="00C63334" w:rsidRPr="0000418E" w:rsidRDefault="00C63334" w:rsidP="00C63334">
      <w:pPr>
        <w:numPr>
          <w:ilvl w:val="0"/>
          <w:numId w:val="34"/>
        </w:numPr>
        <w:spacing w:line="240" w:lineRule="auto"/>
        <w:jc w:val="both"/>
        <w:rPr>
          <w:lang w:val="el-GR"/>
        </w:rPr>
      </w:pPr>
      <w:r w:rsidRPr="0000418E">
        <w:rPr>
          <w:lang w:val="el-GR"/>
        </w:rPr>
        <w:t>Τέσσερεις (4) εκκρεμείς συμβάσεις με αίτημα των ιδίων των πελατών, λύθηκαν κοινή συναινέσει.</w:t>
      </w:r>
    </w:p>
    <w:p w:rsidR="00C63334" w:rsidRPr="0000418E" w:rsidRDefault="00C63334" w:rsidP="00C63334">
      <w:pPr>
        <w:spacing w:line="240" w:lineRule="auto"/>
        <w:ind w:left="360"/>
        <w:jc w:val="both"/>
        <w:rPr>
          <w:lang w:val="el-GR"/>
        </w:rPr>
      </w:pPr>
      <w:r w:rsidRPr="0000418E">
        <w:rPr>
          <w:lang w:val="el-GR"/>
        </w:rPr>
        <w:t>Από όλες τις παραπάνω εκκρεμείς περιπτώσεις φωτοβολταϊκών πάρκων παραμένει σήμερα σε εκκρεμότητα μόνο μία (1) λόγω διαφωνιών μεταξύ του πελάτη και του προμηθευτή που καθυστερεί την παράδοση.</w:t>
      </w:r>
    </w:p>
    <w:p w:rsidR="00C63334" w:rsidRPr="0000418E" w:rsidRDefault="00C63334" w:rsidP="00C63334">
      <w:pPr>
        <w:spacing w:line="240" w:lineRule="auto"/>
        <w:ind w:left="360"/>
        <w:jc w:val="both"/>
        <w:rPr>
          <w:lang w:val="el-GR"/>
        </w:rPr>
      </w:pPr>
    </w:p>
    <w:p w:rsidR="00C63334" w:rsidRPr="0000418E" w:rsidRDefault="00C63334" w:rsidP="00C63334">
      <w:pPr>
        <w:spacing w:line="240" w:lineRule="auto"/>
        <w:ind w:left="360"/>
        <w:jc w:val="both"/>
        <w:rPr>
          <w:lang w:val="el-GR"/>
        </w:rPr>
      </w:pPr>
      <w:r w:rsidRPr="0000418E">
        <w:rPr>
          <w:lang w:val="el-GR"/>
        </w:rPr>
        <w:t xml:space="preserve">Η </w:t>
      </w:r>
      <w:r>
        <w:rPr>
          <w:lang w:val="el-GR"/>
        </w:rPr>
        <w:t>Ε</w:t>
      </w:r>
      <w:r w:rsidRPr="0000418E">
        <w:rPr>
          <w:lang w:val="el-GR"/>
        </w:rPr>
        <w:t xml:space="preserve">ταιρεία, μετά τις 27/07/2012, που ανακλήθηκε η άδεια λειτουργίας της </w:t>
      </w:r>
      <w:r w:rsidRPr="0000418E">
        <w:t>ATE</w:t>
      </w:r>
      <w:r w:rsidR="002D275F">
        <w:rPr>
          <w:lang w:val="el-GR"/>
        </w:rPr>
        <w:t xml:space="preserve"> </w:t>
      </w:r>
      <w:r w:rsidRPr="0000418E">
        <w:rPr>
          <w:lang w:val="el-GR"/>
        </w:rPr>
        <w:t>και αυτή τέθηκε σε ειδική εκκαθάριση του άρθρου 3601/2007, διαχειρίστηκε τις παραπάνω περιπτώσεις φωτοβολταϊκών πάρκων και το υφιστάμενο χαρτοφυλάκειό της και δεν χορήγησε νέες χρηματοδοτήσεις.</w:t>
      </w:r>
    </w:p>
    <w:p w:rsidR="00C63334" w:rsidRPr="0000418E" w:rsidRDefault="00C63334" w:rsidP="00C63334">
      <w:pPr>
        <w:spacing w:line="240" w:lineRule="auto"/>
        <w:ind w:left="360"/>
        <w:jc w:val="both"/>
        <w:rPr>
          <w:lang w:val="el-GR"/>
        </w:rPr>
      </w:pPr>
      <w:r w:rsidRPr="0000418E">
        <w:rPr>
          <w:lang w:val="el-GR"/>
        </w:rPr>
        <w:t xml:space="preserve">Για όλα τα παραπάνω θέματα και την αντιμετώπισή τους υπάρχει στενή συνεργασία, ενημέρωση και έγκριση του μοναδικού μετόχου.      </w:t>
      </w:r>
    </w:p>
    <w:p w:rsidR="00C63334" w:rsidRPr="00C63334" w:rsidRDefault="00C63334" w:rsidP="00C63334">
      <w:pPr>
        <w:spacing w:line="240" w:lineRule="auto"/>
        <w:jc w:val="both"/>
        <w:rPr>
          <w:lang w:val="el-GR"/>
        </w:rPr>
      </w:pPr>
    </w:p>
    <w:p w:rsidR="00C63334" w:rsidRPr="00C63334" w:rsidRDefault="00C63334" w:rsidP="00C63334">
      <w:pPr>
        <w:spacing w:line="240" w:lineRule="auto"/>
        <w:jc w:val="both"/>
        <w:rPr>
          <w:lang w:val="el-GR"/>
        </w:rPr>
      </w:pPr>
    </w:p>
    <w:p w:rsidR="00C63334" w:rsidRPr="0000418E" w:rsidRDefault="00C63334" w:rsidP="00C63334">
      <w:pPr>
        <w:pStyle w:val="Caption"/>
        <w:rPr>
          <w:i w:val="0"/>
          <w:iCs w:val="0"/>
          <w:u w:val="single"/>
        </w:rPr>
      </w:pPr>
      <w:r w:rsidRPr="0000418E">
        <w:rPr>
          <w:i w:val="0"/>
          <w:iCs w:val="0"/>
          <w:u w:val="single"/>
          <w:lang w:val="en-US"/>
        </w:rPr>
        <w:t>I</w:t>
      </w:r>
      <w:r w:rsidRPr="0000418E">
        <w:rPr>
          <w:i w:val="0"/>
          <w:iCs w:val="0"/>
          <w:u w:val="single"/>
        </w:rPr>
        <w:t>ΙΙ.  ΚΙΝΔΥΝΟΙ ΚΑΙ ΤΡΟΠΟΙ ΑΝΤΙΜΕΤΩΠΙΣΗΣ</w:t>
      </w:r>
    </w:p>
    <w:p w:rsidR="00C63334" w:rsidRPr="0000418E" w:rsidRDefault="00C63334" w:rsidP="00C63334">
      <w:pPr>
        <w:ind w:left="426" w:hanging="426"/>
        <w:rPr>
          <w:szCs w:val="22"/>
          <w:lang w:val="el-GR"/>
        </w:rPr>
      </w:pPr>
    </w:p>
    <w:p w:rsidR="00C63334" w:rsidRPr="0000418E" w:rsidRDefault="00C63334" w:rsidP="00C63334">
      <w:pPr>
        <w:pStyle w:val="List"/>
        <w:ind w:left="0" w:firstLine="0"/>
        <w:rPr>
          <w:sz w:val="22"/>
          <w:szCs w:val="22"/>
        </w:rPr>
      </w:pPr>
      <w:r w:rsidRPr="0000418E">
        <w:rPr>
          <w:sz w:val="22"/>
          <w:szCs w:val="22"/>
        </w:rPr>
        <w:t>Οι κυριότεροι κίνδυνοι που αντιμετωπίζει η εταιρεία λόγω των δραστηριοτήτων της είναι οι εξής:</w:t>
      </w:r>
    </w:p>
    <w:p w:rsidR="00C63334" w:rsidRPr="0000418E" w:rsidRDefault="00C63334" w:rsidP="00C63334">
      <w:pPr>
        <w:pStyle w:val="List"/>
        <w:ind w:left="0" w:firstLine="0"/>
        <w:rPr>
          <w:sz w:val="22"/>
          <w:szCs w:val="22"/>
        </w:rPr>
      </w:pPr>
    </w:p>
    <w:p w:rsidR="00C63334" w:rsidRPr="0000418E" w:rsidRDefault="00C63334" w:rsidP="00C63334">
      <w:pPr>
        <w:pStyle w:val="List"/>
        <w:numPr>
          <w:ilvl w:val="0"/>
          <w:numId w:val="26"/>
        </w:numPr>
        <w:tabs>
          <w:tab w:val="clear" w:pos="720"/>
          <w:tab w:val="num" w:pos="360"/>
        </w:tabs>
        <w:ind w:left="360"/>
        <w:rPr>
          <w:sz w:val="22"/>
          <w:szCs w:val="22"/>
        </w:rPr>
      </w:pPr>
      <w:r w:rsidRPr="0000418E">
        <w:rPr>
          <w:sz w:val="22"/>
          <w:szCs w:val="22"/>
        </w:rPr>
        <w:t>Πιστωτικός κίνδυνος</w:t>
      </w:r>
    </w:p>
    <w:p w:rsidR="00C63334" w:rsidRPr="0000418E" w:rsidRDefault="00C63334" w:rsidP="00C63334">
      <w:pPr>
        <w:pStyle w:val="List"/>
        <w:numPr>
          <w:ilvl w:val="0"/>
          <w:numId w:val="26"/>
        </w:numPr>
        <w:tabs>
          <w:tab w:val="clear" w:pos="720"/>
          <w:tab w:val="num" w:pos="360"/>
        </w:tabs>
        <w:ind w:left="360"/>
        <w:rPr>
          <w:sz w:val="22"/>
          <w:szCs w:val="22"/>
        </w:rPr>
      </w:pPr>
      <w:r w:rsidRPr="0000418E">
        <w:rPr>
          <w:sz w:val="22"/>
          <w:szCs w:val="22"/>
        </w:rPr>
        <w:t>Κίνδυνος ρευστότητας</w:t>
      </w:r>
    </w:p>
    <w:p w:rsidR="00C63334" w:rsidRPr="0000418E" w:rsidRDefault="00C63334" w:rsidP="00C63334">
      <w:pPr>
        <w:pStyle w:val="List"/>
        <w:numPr>
          <w:ilvl w:val="0"/>
          <w:numId w:val="26"/>
        </w:numPr>
        <w:tabs>
          <w:tab w:val="clear" w:pos="720"/>
          <w:tab w:val="num" w:pos="360"/>
        </w:tabs>
        <w:ind w:left="360"/>
        <w:rPr>
          <w:sz w:val="22"/>
          <w:szCs w:val="22"/>
        </w:rPr>
      </w:pPr>
      <w:r w:rsidRPr="0000418E">
        <w:rPr>
          <w:sz w:val="22"/>
          <w:szCs w:val="22"/>
        </w:rPr>
        <w:t>Συναλλαγματικός κίνδυνος</w:t>
      </w:r>
    </w:p>
    <w:p w:rsidR="00C63334" w:rsidRPr="0000418E" w:rsidRDefault="00C63334" w:rsidP="00C63334">
      <w:pPr>
        <w:pStyle w:val="List"/>
        <w:numPr>
          <w:ilvl w:val="0"/>
          <w:numId w:val="26"/>
        </w:numPr>
        <w:tabs>
          <w:tab w:val="clear" w:pos="720"/>
          <w:tab w:val="num" w:pos="360"/>
        </w:tabs>
        <w:ind w:left="360"/>
        <w:rPr>
          <w:sz w:val="22"/>
          <w:szCs w:val="22"/>
        </w:rPr>
      </w:pPr>
      <w:r w:rsidRPr="0000418E">
        <w:rPr>
          <w:sz w:val="22"/>
          <w:szCs w:val="22"/>
        </w:rPr>
        <w:t>Κίνδυνος επιτοκίου</w:t>
      </w:r>
    </w:p>
    <w:p w:rsidR="00C63334" w:rsidRPr="0000418E" w:rsidRDefault="00C63334" w:rsidP="00C63334">
      <w:pPr>
        <w:pStyle w:val="List"/>
        <w:ind w:left="0" w:firstLine="0"/>
        <w:rPr>
          <w:sz w:val="22"/>
          <w:szCs w:val="22"/>
          <w:lang w:val="en-US"/>
        </w:rPr>
      </w:pPr>
    </w:p>
    <w:p w:rsidR="00C63334" w:rsidRPr="0000418E" w:rsidRDefault="00C63334" w:rsidP="00C63334">
      <w:pPr>
        <w:pStyle w:val="List"/>
        <w:ind w:left="0" w:firstLine="0"/>
        <w:jc w:val="both"/>
        <w:rPr>
          <w:sz w:val="22"/>
          <w:szCs w:val="22"/>
        </w:rPr>
      </w:pPr>
      <w:r w:rsidRPr="0000418E">
        <w:rPr>
          <w:sz w:val="22"/>
          <w:szCs w:val="22"/>
        </w:rPr>
        <w:t xml:space="preserve">Η πολιτική που ακολουθεί η εταιρεία για την αντιμετώπισή τους αναφέρεται αναλυτικά στις οικονομικές καταστάσεις στην Σημείωση 22. </w:t>
      </w:r>
    </w:p>
    <w:p w:rsidR="00C63334" w:rsidRPr="0000418E" w:rsidRDefault="00C63334" w:rsidP="00C63334">
      <w:pPr>
        <w:jc w:val="both"/>
        <w:rPr>
          <w:szCs w:val="22"/>
          <w:lang w:val="el-GR"/>
        </w:rPr>
      </w:pPr>
    </w:p>
    <w:p w:rsidR="00C63334" w:rsidRPr="0000418E" w:rsidRDefault="00C63334" w:rsidP="00C63334">
      <w:pPr>
        <w:jc w:val="both"/>
        <w:rPr>
          <w:szCs w:val="22"/>
          <w:lang w:val="el-GR"/>
        </w:rPr>
      </w:pPr>
    </w:p>
    <w:p w:rsidR="00C63334" w:rsidRPr="0000418E" w:rsidRDefault="00C63334" w:rsidP="00C63334">
      <w:pPr>
        <w:pStyle w:val="Caption"/>
        <w:rPr>
          <w:i w:val="0"/>
          <w:iCs w:val="0"/>
          <w:u w:val="single"/>
        </w:rPr>
      </w:pPr>
      <w:r w:rsidRPr="0000418E">
        <w:rPr>
          <w:i w:val="0"/>
          <w:iCs w:val="0"/>
          <w:u w:val="single"/>
        </w:rPr>
        <w:t>Ι</w:t>
      </w:r>
      <w:r w:rsidRPr="0000418E">
        <w:rPr>
          <w:i w:val="0"/>
          <w:iCs w:val="0"/>
          <w:u w:val="single"/>
          <w:lang w:val="en-US"/>
        </w:rPr>
        <w:t>V</w:t>
      </w:r>
      <w:r w:rsidRPr="0000418E">
        <w:rPr>
          <w:i w:val="0"/>
          <w:iCs w:val="0"/>
          <w:u w:val="single"/>
        </w:rPr>
        <w:t>.  ΠΡΟΟΠΤΙΚΕΣ ΚΛΑΔΟΥ ΚΑΙ ΕΤΑΙΡΕΙΑΣ ΓΙΑ ΤΟ 2013</w:t>
      </w:r>
    </w:p>
    <w:p w:rsidR="00C63334" w:rsidRPr="0000418E" w:rsidRDefault="00C63334" w:rsidP="00C63334">
      <w:pPr>
        <w:rPr>
          <w:lang w:val="el-GR" w:eastAsia="el-GR"/>
        </w:rPr>
      </w:pPr>
    </w:p>
    <w:p w:rsidR="00C63334" w:rsidRPr="0000418E" w:rsidRDefault="00C63334" w:rsidP="00C63334">
      <w:pPr>
        <w:jc w:val="both"/>
        <w:rPr>
          <w:b/>
          <w:u w:val="single"/>
          <w:lang w:val="el-GR" w:eastAsia="el-GR"/>
        </w:rPr>
      </w:pPr>
      <w:r w:rsidRPr="0000418E">
        <w:rPr>
          <w:b/>
          <w:u w:val="single"/>
          <w:lang w:val="el-GR" w:eastAsia="el-GR"/>
        </w:rPr>
        <w:t>Προοπτικές κλάδου</w:t>
      </w:r>
    </w:p>
    <w:p w:rsidR="00C63334" w:rsidRPr="0000418E" w:rsidRDefault="00C63334" w:rsidP="00C63334">
      <w:pPr>
        <w:jc w:val="both"/>
        <w:rPr>
          <w:b/>
          <w:u w:val="single"/>
          <w:lang w:val="el-GR" w:eastAsia="el-GR"/>
        </w:rPr>
      </w:pPr>
    </w:p>
    <w:p w:rsidR="00C63334" w:rsidRPr="0000418E" w:rsidRDefault="00C63334" w:rsidP="00C63334">
      <w:pPr>
        <w:jc w:val="both"/>
        <w:rPr>
          <w:lang w:val="el-GR"/>
        </w:rPr>
      </w:pPr>
    </w:p>
    <w:p w:rsidR="00C63334" w:rsidRPr="0000418E" w:rsidRDefault="00C63334" w:rsidP="00C63334">
      <w:pPr>
        <w:ind w:left="720"/>
        <w:jc w:val="both"/>
        <w:rPr>
          <w:lang w:val="el-GR"/>
        </w:rPr>
      </w:pPr>
      <w:r w:rsidRPr="0000418E">
        <w:rPr>
          <w:lang w:val="el-GR"/>
        </w:rPr>
        <w:t>Τα σημάδια υποχώρησης των εργασιών της αγοράς του κλάδου των χρηματοδοτικών μισθώσεων που είχαν φανεί από το τελευταίο τρίμηνο του έτους 2008, συνεχίστηκαν το 2009, το 2010, το 2011 και το 2012. Εκτιμάται ότι και για τα επόμενα ένα με δύο χρόνια οι νέες εργασίες στις χρηματοδοτικές μισθώσεις θα είναι μειωμένες, διαρκούσης και της οικονομικής ύφεσης στη χώρα μας.</w:t>
      </w:r>
    </w:p>
    <w:p w:rsidR="00C63334" w:rsidRPr="0000418E" w:rsidRDefault="00C63334" w:rsidP="00C63334">
      <w:pPr>
        <w:ind w:left="720"/>
        <w:jc w:val="both"/>
        <w:rPr>
          <w:lang w:val="el-GR"/>
        </w:rPr>
      </w:pPr>
    </w:p>
    <w:p w:rsidR="00C63334" w:rsidRPr="0000418E" w:rsidRDefault="00C63334" w:rsidP="00C63334">
      <w:pPr>
        <w:ind w:left="720"/>
        <w:jc w:val="both"/>
        <w:rPr>
          <w:lang w:val="el-GR"/>
        </w:rPr>
      </w:pPr>
      <w:r w:rsidRPr="0000418E">
        <w:rPr>
          <w:lang w:val="el-GR"/>
        </w:rPr>
        <w:t>Σε σχέση με το 2007 (έτος σταθμός για τις εταιρείες χρηματοδοτικής μίσθωσης), οι νέες εργασίες μειώθηκαν στο 2012 κατά 92,53% (2.868.934.000 ευρώ περίπου νέες εργασίες το 2007, έναντι 214.178.000 ευρώ περίπου νέες εργασίες το 2012).</w:t>
      </w:r>
    </w:p>
    <w:p w:rsidR="00C63334" w:rsidRPr="0000418E" w:rsidRDefault="00C63334" w:rsidP="00C63334">
      <w:pPr>
        <w:ind w:left="720"/>
        <w:jc w:val="both"/>
        <w:rPr>
          <w:lang w:val="el-GR"/>
        </w:rPr>
      </w:pPr>
    </w:p>
    <w:p w:rsidR="00C63334" w:rsidRPr="0000418E" w:rsidRDefault="00C63334" w:rsidP="00C63334">
      <w:pPr>
        <w:ind w:left="720"/>
        <w:jc w:val="both"/>
        <w:rPr>
          <w:lang w:val="el-GR"/>
        </w:rPr>
      </w:pPr>
      <w:r w:rsidRPr="00B90261">
        <w:rPr>
          <w:lang w:val="el-GR"/>
        </w:rPr>
        <w:lastRenderedPageBreak/>
        <w:t>Στη χρήση του 2012 οι εταιρείες χρηματοδοτικής μίσθωσης μείωσαν κατά 1 δις. 250 εκατομμύρια τα υπολειπόμενα κεφάλαια, ενώ οι νέες συμβάσεις που υπογράφουν,</w:t>
      </w:r>
      <w:r w:rsidRPr="0000418E">
        <w:rPr>
          <w:lang w:val="el-GR"/>
        </w:rPr>
        <w:t xml:space="preserve"> είναι δραματικά περιορισμένες.  </w:t>
      </w:r>
    </w:p>
    <w:p w:rsidR="00C63334" w:rsidRPr="0000418E" w:rsidRDefault="00C63334" w:rsidP="00C63334">
      <w:pPr>
        <w:ind w:left="720"/>
        <w:jc w:val="both"/>
        <w:rPr>
          <w:lang w:val="el-GR"/>
        </w:rPr>
      </w:pPr>
    </w:p>
    <w:p w:rsidR="00C63334" w:rsidRPr="0000418E" w:rsidRDefault="00C63334" w:rsidP="00C63334">
      <w:pPr>
        <w:ind w:left="720"/>
        <w:jc w:val="both"/>
        <w:rPr>
          <w:lang w:val="el-GR"/>
        </w:rPr>
      </w:pPr>
      <w:r w:rsidRPr="0000418E">
        <w:rPr>
          <w:lang w:val="el-GR"/>
        </w:rPr>
        <w:t xml:space="preserve">Έχουν υποβληθεί προτάσεις για σημαντικά αιτήματα του κλάδου όπως: </w:t>
      </w:r>
    </w:p>
    <w:p w:rsidR="00C63334" w:rsidRPr="0000418E" w:rsidRDefault="00C63334" w:rsidP="00C63334">
      <w:pPr>
        <w:numPr>
          <w:ilvl w:val="0"/>
          <w:numId w:val="33"/>
        </w:numPr>
        <w:jc w:val="both"/>
        <w:rPr>
          <w:lang w:val="el-GR"/>
        </w:rPr>
      </w:pPr>
      <w:r w:rsidRPr="0000418E">
        <w:rPr>
          <w:lang w:val="el-GR"/>
        </w:rPr>
        <w:t>για τροποποίηση του ν. 1665/1986 (χρηματοδοτικής μίσθωσης), ώστε να προστεθεί και η προοπτική χρηματοδοτικής μίσθωσης για πλοία και πλωτά ναυπηγήματα.</w:t>
      </w:r>
    </w:p>
    <w:p w:rsidR="00C63334" w:rsidRPr="0000418E" w:rsidRDefault="00C63334" w:rsidP="00C63334">
      <w:pPr>
        <w:numPr>
          <w:ilvl w:val="0"/>
          <w:numId w:val="33"/>
        </w:numPr>
        <w:jc w:val="both"/>
        <w:rPr>
          <w:lang w:val="el-GR"/>
        </w:rPr>
      </w:pPr>
      <w:r w:rsidRPr="0000418E">
        <w:rPr>
          <w:lang w:val="el-GR"/>
        </w:rPr>
        <w:t>για χρήση της χρηματοδοτικής μίσθωσης ως χρηματοδοτικού εργαλείου στις ΣΔΙΤ (Συμπράξεις Δημοσίου &amp; Ιδιωτικού Τομέα).</w:t>
      </w:r>
    </w:p>
    <w:p w:rsidR="00C63334" w:rsidRPr="0000418E" w:rsidRDefault="00C63334" w:rsidP="00C63334">
      <w:pPr>
        <w:numPr>
          <w:ilvl w:val="0"/>
          <w:numId w:val="33"/>
        </w:numPr>
        <w:jc w:val="both"/>
        <w:rPr>
          <w:lang w:val="el-GR"/>
        </w:rPr>
      </w:pPr>
      <w:r w:rsidRPr="0000418E">
        <w:rPr>
          <w:lang w:val="el-GR"/>
        </w:rPr>
        <w:t>για την προώθηση νομοθετικών ρυθμίσεων, προκειμένου να απαλειφθούν οι δυσλειτουργίες στην αγορά των μηχανημάτων έργων και</w:t>
      </w:r>
    </w:p>
    <w:p w:rsidR="00C63334" w:rsidRPr="0000418E" w:rsidRDefault="00C63334" w:rsidP="00C63334">
      <w:pPr>
        <w:numPr>
          <w:ilvl w:val="0"/>
          <w:numId w:val="33"/>
        </w:numPr>
        <w:jc w:val="both"/>
        <w:rPr>
          <w:lang w:val="el-GR"/>
        </w:rPr>
      </w:pPr>
      <w:r w:rsidRPr="0000418E">
        <w:rPr>
          <w:lang w:val="el-GR"/>
        </w:rPr>
        <w:t>για την αντιμετώπιση θεμάτων που είναι σε εκκρεμότητα στο νέο φορολογικό νομοσχέδιο.</w:t>
      </w:r>
    </w:p>
    <w:p w:rsidR="00C63334" w:rsidRPr="0000418E" w:rsidRDefault="00C63334" w:rsidP="00C63334">
      <w:pPr>
        <w:ind w:left="720"/>
        <w:jc w:val="both"/>
        <w:rPr>
          <w:lang w:val="el-GR"/>
        </w:rPr>
      </w:pPr>
    </w:p>
    <w:p w:rsidR="00C63334" w:rsidRPr="00C63334" w:rsidRDefault="00C63334" w:rsidP="00C63334">
      <w:pPr>
        <w:jc w:val="both"/>
        <w:rPr>
          <w:lang w:val="el-GR"/>
        </w:rPr>
      </w:pPr>
    </w:p>
    <w:p w:rsidR="00C63334" w:rsidRPr="0000418E" w:rsidRDefault="00C63334" w:rsidP="00C63334">
      <w:pPr>
        <w:jc w:val="both"/>
        <w:rPr>
          <w:b/>
          <w:u w:val="single"/>
          <w:lang w:val="el-GR" w:eastAsia="el-GR"/>
        </w:rPr>
      </w:pPr>
      <w:r w:rsidRPr="0000418E">
        <w:rPr>
          <w:b/>
          <w:u w:val="single"/>
          <w:lang w:val="el-GR" w:eastAsia="el-GR"/>
        </w:rPr>
        <w:t xml:space="preserve">Προοπτικές </w:t>
      </w:r>
      <w:r>
        <w:rPr>
          <w:b/>
          <w:u w:val="single"/>
          <w:lang w:val="el-GR" w:eastAsia="el-GR"/>
        </w:rPr>
        <w:t>Ε</w:t>
      </w:r>
      <w:r w:rsidRPr="0000418E">
        <w:rPr>
          <w:b/>
          <w:u w:val="single"/>
          <w:lang w:val="el-GR" w:eastAsia="el-GR"/>
        </w:rPr>
        <w:t>ταιρείας</w:t>
      </w:r>
    </w:p>
    <w:p w:rsidR="00C63334" w:rsidRPr="0000418E" w:rsidRDefault="00C63334" w:rsidP="00C63334">
      <w:pPr>
        <w:jc w:val="both"/>
        <w:rPr>
          <w:b/>
          <w:u w:val="single"/>
          <w:lang w:val="el-GR" w:eastAsia="el-GR"/>
        </w:rPr>
      </w:pPr>
    </w:p>
    <w:p w:rsidR="00C63334" w:rsidRPr="0000418E" w:rsidRDefault="00C63334" w:rsidP="00C63334">
      <w:pPr>
        <w:jc w:val="both"/>
        <w:rPr>
          <w:lang w:val="el-GR" w:eastAsia="el-GR"/>
        </w:rPr>
      </w:pPr>
      <w:r w:rsidRPr="0000418E">
        <w:rPr>
          <w:lang w:val="el-GR" w:eastAsia="el-GR"/>
        </w:rPr>
        <w:t xml:space="preserve">Όπως προαναφέρθηκε, μετά την ανάκληση της άδειας λειτουργίας της </w:t>
      </w:r>
      <w:r w:rsidRPr="0000418E">
        <w:rPr>
          <w:lang w:eastAsia="el-GR"/>
        </w:rPr>
        <w:t>ATE</w:t>
      </w:r>
      <w:r w:rsidR="002015A0">
        <w:rPr>
          <w:lang w:val="el-GR" w:eastAsia="el-GR"/>
        </w:rPr>
        <w:t xml:space="preserve"> </w:t>
      </w:r>
      <w:r w:rsidRPr="0000418E">
        <w:rPr>
          <w:lang w:val="el-GR" w:eastAsia="el-GR"/>
        </w:rPr>
        <w:t xml:space="preserve">και τη θέση της σε ειδική εκκαθάριση του ν. 3601/2007 από την Τράπεζα της Ελλάδος, η </w:t>
      </w:r>
      <w:r>
        <w:rPr>
          <w:lang w:val="el-GR" w:eastAsia="el-GR"/>
        </w:rPr>
        <w:t>Ε</w:t>
      </w:r>
      <w:r w:rsidRPr="0000418E">
        <w:rPr>
          <w:lang w:val="el-GR" w:eastAsia="el-GR"/>
        </w:rPr>
        <w:t xml:space="preserve">ταιρεία βρίσκεται σε δυσχερή χρηματοοικονομική θέση και σε αδυναμία κάλυψης της αναγκαίας </w:t>
      </w:r>
      <w:r w:rsidR="000A4584">
        <w:rPr>
          <w:lang w:val="el-GR" w:eastAsia="el-GR"/>
        </w:rPr>
        <w:t>κεφαλαιακής επάρκειας</w:t>
      </w:r>
      <w:r w:rsidRPr="00B90261">
        <w:rPr>
          <w:lang w:val="el-GR" w:eastAsia="el-GR"/>
        </w:rPr>
        <w:t>. Ως συνέπεια αυτού είναι να μην συνάπτει νέες χρηματοδοτικές μισθώσεις και να απαιτηθεί ο παραπάνω χειρισμός των εκκρεμών φωτοβολταϊκών συμβάσεων προς προστασία των συμφερόντων της Εταιρείας και την αποτροπή κινδύνου για</w:t>
      </w:r>
      <w:r w:rsidRPr="0000418E">
        <w:rPr>
          <w:lang w:val="el-GR" w:eastAsia="el-GR"/>
        </w:rPr>
        <w:t xml:space="preserve"> τους πελάτες, τους προμηθευτές και την οικονομία γενικότερα. </w:t>
      </w:r>
    </w:p>
    <w:p w:rsidR="00C63334" w:rsidRPr="0000418E" w:rsidRDefault="00C63334" w:rsidP="00C63334">
      <w:pPr>
        <w:jc w:val="both"/>
        <w:rPr>
          <w:lang w:val="el-GR" w:eastAsia="el-GR"/>
        </w:rPr>
      </w:pPr>
      <w:r w:rsidRPr="0000418E">
        <w:rPr>
          <w:lang w:val="el-GR" w:eastAsia="el-GR"/>
        </w:rPr>
        <w:t xml:space="preserve">Η Διοίκηση της </w:t>
      </w:r>
      <w:r>
        <w:rPr>
          <w:lang w:val="el-GR" w:eastAsia="el-GR"/>
        </w:rPr>
        <w:t>Ε</w:t>
      </w:r>
      <w:r w:rsidRPr="0000418E">
        <w:rPr>
          <w:lang w:val="el-GR" w:eastAsia="el-GR"/>
        </w:rPr>
        <w:t xml:space="preserve">ταιρείας διαχειρίζεται με σύνεση τα τρέχοντα θέματα της </w:t>
      </w:r>
      <w:r>
        <w:rPr>
          <w:lang w:val="el-GR" w:eastAsia="el-GR"/>
        </w:rPr>
        <w:t>Ε</w:t>
      </w:r>
      <w:r w:rsidRPr="0000418E">
        <w:rPr>
          <w:lang w:val="el-GR" w:eastAsia="el-GR"/>
        </w:rPr>
        <w:t xml:space="preserve">ταιρείας και βρίσκεται σε συνεχή συνεργασία με το μοναδικό μέτοχο για την αντιμετώπιση της ως άνω απρόβλεπτης κατάστασης και την εξέταση όλων των σεναρίων για το μέλλον της </w:t>
      </w:r>
      <w:r>
        <w:rPr>
          <w:lang w:val="el-GR" w:eastAsia="el-GR"/>
        </w:rPr>
        <w:t>Ε</w:t>
      </w:r>
      <w:r w:rsidRPr="0000418E">
        <w:rPr>
          <w:lang w:val="el-GR" w:eastAsia="el-GR"/>
        </w:rPr>
        <w:t>ταιρείας, υπό τις νέ</w:t>
      </w:r>
      <w:r>
        <w:rPr>
          <w:lang w:val="el-GR" w:eastAsia="el-GR"/>
        </w:rPr>
        <w:t>ες</w:t>
      </w:r>
      <w:r w:rsidRPr="0000418E">
        <w:rPr>
          <w:lang w:val="el-GR" w:eastAsia="el-GR"/>
        </w:rPr>
        <w:t xml:space="preserve"> αυτές δυσμενές συνθήκες.</w:t>
      </w:r>
    </w:p>
    <w:p w:rsidR="00C63334" w:rsidRPr="0000418E" w:rsidRDefault="00C63334" w:rsidP="00C63334">
      <w:pPr>
        <w:jc w:val="both"/>
        <w:rPr>
          <w:lang w:val="el-GR" w:eastAsia="el-GR"/>
        </w:rPr>
      </w:pPr>
      <w:r w:rsidRPr="0000418E">
        <w:rPr>
          <w:lang w:val="el-GR" w:eastAsia="el-GR"/>
        </w:rPr>
        <w:t xml:space="preserve">Το Διοικητικό Συμβούλιο της </w:t>
      </w:r>
      <w:r>
        <w:rPr>
          <w:lang w:val="el-GR" w:eastAsia="el-GR"/>
        </w:rPr>
        <w:t>Ε</w:t>
      </w:r>
      <w:r w:rsidRPr="0000418E">
        <w:rPr>
          <w:lang w:val="el-GR" w:eastAsia="el-GR"/>
        </w:rPr>
        <w:t xml:space="preserve">ταιρείας στην Έκτακτη Γενική Συνέλευση που συγκάλεσε προς τούτο, με απόφαση του στις 31/12/2012, πρότεινε τη λύση και τη θέση σε εκκαθάριση της </w:t>
      </w:r>
      <w:r>
        <w:rPr>
          <w:lang w:val="el-GR" w:eastAsia="el-GR"/>
        </w:rPr>
        <w:t>Ε</w:t>
      </w:r>
      <w:r w:rsidRPr="0000418E">
        <w:rPr>
          <w:lang w:val="el-GR" w:eastAsia="el-GR"/>
        </w:rPr>
        <w:t xml:space="preserve">ταιρείας και αναμένει τις εξελίξεις ως προς το μέλλον της </w:t>
      </w:r>
      <w:r>
        <w:rPr>
          <w:lang w:val="el-GR" w:eastAsia="el-GR"/>
        </w:rPr>
        <w:t>Ε</w:t>
      </w:r>
      <w:r w:rsidRPr="0000418E">
        <w:rPr>
          <w:lang w:val="el-GR" w:eastAsia="el-GR"/>
        </w:rPr>
        <w:t>ταιρείας για να ληφθούν οι αναγκαίες αποφάσεις από το μοναδικό μέτοχο (υπό ειδική εκκαθάριση ΑΤΕ).</w:t>
      </w:r>
    </w:p>
    <w:p w:rsidR="00C63334" w:rsidRPr="0000418E" w:rsidRDefault="00C63334" w:rsidP="000A4584">
      <w:pPr>
        <w:jc w:val="both"/>
        <w:rPr>
          <w:b/>
          <w:szCs w:val="22"/>
          <w:lang w:val="el-GR"/>
        </w:rPr>
      </w:pPr>
    </w:p>
    <w:p w:rsidR="00C63334" w:rsidRPr="0000418E" w:rsidRDefault="00C63334" w:rsidP="00C63334">
      <w:pPr>
        <w:pStyle w:val="List"/>
        <w:rPr>
          <w:sz w:val="22"/>
          <w:szCs w:val="22"/>
        </w:rPr>
      </w:pPr>
      <w:r w:rsidRPr="0000418E">
        <w:rPr>
          <w:sz w:val="22"/>
          <w:szCs w:val="22"/>
        </w:rPr>
        <w:t>Αθήνα, 26 Απριλίου 2013</w:t>
      </w:r>
    </w:p>
    <w:p w:rsidR="00C63334" w:rsidRPr="0000418E" w:rsidRDefault="00C63334" w:rsidP="00C63334">
      <w:pPr>
        <w:pStyle w:val="List"/>
        <w:rPr>
          <w:sz w:val="22"/>
          <w:szCs w:val="22"/>
        </w:rPr>
      </w:pPr>
    </w:p>
    <w:p w:rsidR="00C63334" w:rsidRPr="0000418E" w:rsidRDefault="00C63334" w:rsidP="00C63334">
      <w:pPr>
        <w:pStyle w:val="List"/>
        <w:rPr>
          <w:sz w:val="22"/>
          <w:szCs w:val="22"/>
        </w:rPr>
      </w:pPr>
      <w:r w:rsidRPr="0000418E">
        <w:rPr>
          <w:sz w:val="22"/>
          <w:szCs w:val="22"/>
        </w:rPr>
        <w:t>ΓΙΑ ΤΟ ΔΙΟΙΚΗΤΙΚΟ ΣΥΜΒΟΥΛΙΟ ΤΗΣ ΕΤΑΙΡΙΑΣ</w:t>
      </w:r>
    </w:p>
    <w:p w:rsidR="00C63334" w:rsidRPr="0000418E" w:rsidRDefault="00C63334" w:rsidP="00C63334">
      <w:pPr>
        <w:ind w:left="426" w:hanging="426"/>
        <w:rPr>
          <w:szCs w:val="22"/>
          <w:lang w:val="el-GR"/>
        </w:rPr>
      </w:pPr>
    </w:p>
    <w:p w:rsidR="00C63334" w:rsidRPr="0000418E" w:rsidRDefault="00C63334" w:rsidP="00C63334">
      <w:pPr>
        <w:pStyle w:val="BodyText"/>
        <w:rPr>
          <w:szCs w:val="22"/>
          <w:lang w:val="el-GR"/>
        </w:rPr>
      </w:pPr>
      <w:r w:rsidRPr="0000418E">
        <w:rPr>
          <w:szCs w:val="22"/>
          <w:lang w:val="el-GR"/>
        </w:rPr>
        <w:t>Ο ΠΡΟΕΔΡΟΣ</w:t>
      </w:r>
    </w:p>
    <w:p w:rsidR="00C63334" w:rsidRDefault="00C63334" w:rsidP="000A4584">
      <w:pPr>
        <w:rPr>
          <w:szCs w:val="22"/>
          <w:lang w:val="el-GR"/>
        </w:rPr>
      </w:pPr>
    </w:p>
    <w:p w:rsidR="000A4584" w:rsidRPr="0000418E" w:rsidRDefault="000A4584" w:rsidP="000A4584">
      <w:pPr>
        <w:rPr>
          <w:szCs w:val="22"/>
          <w:lang w:val="el-GR"/>
        </w:rPr>
      </w:pPr>
    </w:p>
    <w:p w:rsidR="00C63334" w:rsidRPr="00030829" w:rsidRDefault="00C63334" w:rsidP="00C63334">
      <w:pPr>
        <w:rPr>
          <w:lang w:val="el-GR"/>
        </w:rPr>
      </w:pPr>
      <w:r w:rsidRPr="0000418E">
        <w:rPr>
          <w:szCs w:val="22"/>
          <w:lang w:val="el-GR"/>
        </w:rPr>
        <w:t>ΗΛΙΑΣ ΜΠΕΤΣΗΣ</w:t>
      </w:r>
    </w:p>
    <w:p w:rsidR="004B417C" w:rsidRDefault="004B417C" w:rsidP="00493221">
      <w:pPr>
        <w:pStyle w:val="BodyText"/>
        <w:spacing w:after="0" w:line="240" w:lineRule="auto"/>
        <w:jc w:val="both"/>
        <w:rPr>
          <w:bCs/>
          <w:szCs w:val="22"/>
          <w:lang w:val="el-GR"/>
        </w:rPr>
      </w:pPr>
    </w:p>
    <w:p w:rsidR="004B417C" w:rsidRPr="00493221" w:rsidRDefault="004B417C" w:rsidP="00493221">
      <w:pPr>
        <w:pStyle w:val="BodyText"/>
        <w:spacing w:after="0" w:line="240" w:lineRule="auto"/>
        <w:jc w:val="both"/>
        <w:rPr>
          <w:bCs/>
          <w:szCs w:val="22"/>
          <w:lang w:val="el-GR"/>
        </w:rPr>
      </w:pPr>
      <w:r w:rsidRPr="00493221">
        <w:rPr>
          <w:bCs/>
          <w:szCs w:val="22"/>
          <w:lang w:val="el-GR"/>
        </w:rPr>
        <w:t>Βεβαιώνεται ότι, η ανωτέρω Έκθεση Διαχείρισης,</w:t>
      </w:r>
      <w:r w:rsidR="00241885">
        <w:rPr>
          <w:bCs/>
          <w:szCs w:val="22"/>
          <w:lang w:val="el-GR"/>
        </w:rPr>
        <w:t xml:space="preserve"> που αποτελείται από έξι (6</w:t>
      </w:r>
      <w:r w:rsidRPr="00493221">
        <w:rPr>
          <w:bCs/>
          <w:szCs w:val="22"/>
          <w:lang w:val="el-GR"/>
        </w:rPr>
        <w:t>) σελίδες, είναι αυτή που αναφέρεται στην Έκθεση Ελέγχου</w:t>
      </w:r>
      <w:r>
        <w:rPr>
          <w:bCs/>
          <w:szCs w:val="22"/>
          <w:lang w:val="el-GR"/>
        </w:rPr>
        <w:t xml:space="preserve"> που χορηγήσαμε με ημερομηνία 26 Απριλίου 2013</w:t>
      </w:r>
      <w:r w:rsidRPr="00493221">
        <w:rPr>
          <w:bCs/>
          <w:szCs w:val="22"/>
          <w:lang w:val="el-GR"/>
        </w:rPr>
        <w:t>.</w:t>
      </w:r>
    </w:p>
    <w:p w:rsidR="004B417C" w:rsidRPr="00493221" w:rsidRDefault="004B417C" w:rsidP="00493221">
      <w:pPr>
        <w:autoSpaceDE w:val="0"/>
        <w:autoSpaceDN w:val="0"/>
        <w:adjustRightInd w:val="0"/>
        <w:rPr>
          <w:szCs w:val="22"/>
          <w:lang w:val="el-GR" w:eastAsia="el-GR"/>
        </w:rPr>
      </w:pPr>
    </w:p>
    <w:p w:rsidR="004B417C" w:rsidRPr="00493221" w:rsidRDefault="001D437A" w:rsidP="00493221">
      <w:pPr>
        <w:autoSpaceDE w:val="0"/>
        <w:autoSpaceDN w:val="0"/>
        <w:adjustRightInd w:val="0"/>
        <w:rPr>
          <w:szCs w:val="22"/>
          <w:lang w:val="el-GR" w:eastAsia="el-GR"/>
        </w:rPr>
      </w:pPr>
      <w:r>
        <w:rPr>
          <w:noProof/>
        </w:rPr>
        <w:drawing>
          <wp:anchor distT="0" distB="0" distL="114300" distR="114300" simplePos="0" relativeHeight="251658240" behindDoc="0" locked="1" layoutInCell="1" allowOverlap="1">
            <wp:simplePos x="0" y="0"/>
            <wp:positionH relativeFrom="page">
              <wp:posOffset>1409700</wp:posOffset>
            </wp:positionH>
            <wp:positionV relativeFrom="page">
              <wp:posOffset>8753475</wp:posOffset>
            </wp:positionV>
            <wp:extent cx="895350" cy="657225"/>
            <wp:effectExtent l="0" t="0" r="0" b="0"/>
            <wp:wrapNone/>
            <wp:docPr id="4" name="first_pag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st_page_logo"/>
                    <pic:cNvPicPr>
                      <a:picLocks noChangeAspect="1" noChangeArrowheads="1"/>
                    </pic:cNvPicPr>
                  </pic:nvPicPr>
                  <pic:blipFill>
                    <a:blip r:embed="rId17"/>
                    <a:srcRect/>
                    <a:stretch>
                      <a:fillRect/>
                    </a:stretch>
                  </pic:blipFill>
                  <pic:spPr bwMode="auto">
                    <a:xfrm>
                      <a:off x="0" y="0"/>
                      <a:ext cx="895350" cy="657225"/>
                    </a:xfrm>
                    <a:prstGeom prst="rect">
                      <a:avLst/>
                    </a:prstGeom>
                    <a:noFill/>
                  </pic:spPr>
                </pic:pic>
              </a:graphicData>
            </a:graphic>
          </wp:anchor>
        </w:drawing>
      </w:r>
      <w:r w:rsidR="004B417C" w:rsidRPr="00493221">
        <w:rPr>
          <w:szCs w:val="22"/>
          <w:lang w:val="el-GR" w:eastAsia="el-GR"/>
        </w:rPr>
        <w:t xml:space="preserve">Αθήνα,  </w:t>
      </w:r>
      <w:r w:rsidR="004B417C">
        <w:rPr>
          <w:bCs/>
          <w:szCs w:val="22"/>
          <w:lang w:val="el-GR"/>
        </w:rPr>
        <w:t>26 Απριλίου 2013</w:t>
      </w:r>
      <w:r w:rsidR="004B417C">
        <w:rPr>
          <w:szCs w:val="22"/>
          <w:lang w:val="el-GR" w:eastAsia="el-GR"/>
        </w:rPr>
        <w:tab/>
      </w:r>
      <w:r w:rsidR="004B417C">
        <w:rPr>
          <w:szCs w:val="22"/>
          <w:lang w:val="el-GR" w:eastAsia="el-GR"/>
        </w:rPr>
        <w:tab/>
      </w:r>
      <w:r w:rsidR="004B417C">
        <w:rPr>
          <w:szCs w:val="22"/>
          <w:lang w:val="el-GR" w:eastAsia="el-GR"/>
        </w:rPr>
        <w:tab/>
        <w:t xml:space="preserve">                      </w:t>
      </w:r>
      <w:r w:rsidR="004B417C" w:rsidRPr="00493221">
        <w:rPr>
          <w:szCs w:val="22"/>
          <w:lang w:val="el-GR" w:eastAsia="el-GR"/>
        </w:rPr>
        <w:t>Ο Ορκωτός Ελεγκτής Λογιστής</w:t>
      </w:r>
    </w:p>
    <w:p w:rsidR="004B417C" w:rsidRPr="00493221" w:rsidRDefault="004B417C" w:rsidP="00493221">
      <w:pPr>
        <w:autoSpaceDE w:val="0"/>
        <w:autoSpaceDN w:val="0"/>
        <w:adjustRightInd w:val="0"/>
        <w:ind w:left="4320"/>
        <w:rPr>
          <w:szCs w:val="22"/>
          <w:lang w:val="el-GR" w:eastAsia="el-GR"/>
        </w:rPr>
      </w:pPr>
    </w:p>
    <w:p w:rsidR="004B417C" w:rsidRPr="00493221" w:rsidRDefault="004B417C" w:rsidP="00493221">
      <w:pPr>
        <w:autoSpaceDE w:val="0"/>
        <w:autoSpaceDN w:val="0"/>
        <w:adjustRightInd w:val="0"/>
        <w:ind w:left="4320"/>
        <w:rPr>
          <w:szCs w:val="22"/>
          <w:lang w:val="el-GR" w:eastAsia="el-GR"/>
        </w:rPr>
      </w:pPr>
      <w:r w:rsidRPr="00493221">
        <w:rPr>
          <w:szCs w:val="22"/>
          <w:lang w:val="el-GR" w:eastAsia="el-GR"/>
        </w:rPr>
        <w:t xml:space="preserve">            </w:t>
      </w:r>
    </w:p>
    <w:p w:rsidR="004B417C" w:rsidRPr="00493221" w:rsidRDefault="004B417C" w:rsidP="00493221">
      <w:pPr>
        <w:rPr>
          <w:szCs w:val="22"/>
          <w:lang w:val="el-GR"/>
        </w:rPr>
      </w:pPr>
    </w:p>
    <w:p w:rsidR="004B417C" w:rsidRPr="00493221" w:rsidRDefault="004B417C" w:rsidP="00493221">
      <w:pPr>
        <w:rPr>
          <w:szCs w:val="22"/>
          <w:lang w:val="el-GR"/>
        </w:rPr>
      </w:pPr>
    </w:p>
    <w:p w:rsidR="004B417C" w:rsidRPr="00493221" w:rsidRDefault="004B417C" w:rsidP="00493221">
      <w:pPr>
        <w:rPr>
          <w:szCs w:val="22"/>
          <w:lang w:val="el-GR"/>
        </w:rPr>
      </w:pPr>
      <w:r w:rsidRPr="00493221">
        <w:rPr>
          <w:szCs w:val="22"/>
          <w:lang w:val="el-GR"/>
        </w:rPr>
        <w:t>ΠραϊσγουωτερχαουςΚούπερς</w:t>
      </w:r>
    </w:p>
    <w:p w:rsidR="004B417C" w:rsidRPr="00493221" w:rsidRDefault="004B417C" w:rsidP="00493221">
      <w:pPr>
        <w:autoSpaceDE w:val="0"/>
        <w:autoSpaceDN w:val="0"/>
        <w:adjustRightInd w:val="0"/>
        <w:rPr>
          <w:szCs w:val="22"/>
          <w:lang w:val="el-GR" w:eastAsia="el-GR"/>
        </w:rPr>
      </w:pPr>
      <w:r w:rsidRPr="00493221">
        <w:rPr>
          <w:szCs w:val="22"/>
          <w:lang w:val="el-GR"/>
        </w:rPr>
        <w:t>Ανώνυμη Ελεγκτική Εταιρεία</w:t>
      </w:r>
      <w:r w:rsidRPr="00493221">
        <w:rPr>
          <w:szCs w:val="22"/>
          <w:lang w:val="el-GR" w:eastAsia="el-GR"/>
        </w:rPr>
        <w:t xml:space="preserve"> </w:t>
      </w:r>
      <w:r w:rsidRPr="00493221">
        <w:rPr>
          <w:szCs w:val="22"/>
          <w:lang w:val="el-GR" w:eastAsia="el-GR"/>
        </w:rPr>
        <w:tab/>
      </w:r>
      <w:r w:rsidRPr="00493221">
        <w:rPr>
          <w:szCs w:val="22"/>
          <w:lang w:val="el-GR" w:eastAsia="el-GR"/>
        </w:rPr>
        <w:tab/>
      </w:r>
      <w:r w:rsidRPr="00493221">
        <w:rPr>
          <w:szCs w:val="22"/>
          <w:lang w:val="el-GR" w:eastAsia="el-GR"/>
        </w:rPr>
        <w:tab/>
      </w:r>
      <w:r w:rsidRPr="00493221">
        <w:rPr>
          <w:szCs w:val="22"/>
          <w:lang w:val="el-GR" w:eastAsia="el-GR"/>
        </w:rPr>
        <w:tab/>
      </w:r>
      <w:r w:rsidRPr="00493221">
        <w:rPr>
          <w:szCs w:val="22"/>
          <w:lang w:val="el-GR" w:eastAsia="el-GR"/>
        </w:rPr>
        <w:tab/>
      </w:r>
    </w:p>
    <w:p w:rsidR="004B417C" w:rsidRPr="00493221" w:rsidRDefault="004B417C" w:rsidP="00493221">
      <w:pPr>
        <w:autoSpaceDE w:val="0"/>
        <w:autoSpaceDN w:val="0"/>
        <w:adjustRightInd w:val="0"/>
        <w:rPr>
          <w:szCs w:val="22"/>
          <w:lang w:val="el-GR" w:eastAsia="el-GR"/>
        </w:rPr>
      </w:pPr>
      <w:r w:rsidRPr="00493221">
        <w:rPr>
          <w:szCs w:val="22"/>
          <w:lang w:val="el-GR" w:eastAsia="el-GR"/>
        </w:rPr>
        <w:t>Λ.</w:t>
      </w:r>
      <w:r>
        <w:rPr>
          <w:szCs w:val="22"/>
          <w:lang w:val="el-GR" w:eastAsia="el-GR"/>
        </w:rPr>
        <w:t xml:space="preserve"> Κηφισίας 268, Χαλάνδρι</w:t>
      </w:r>
      <w:r>
        <w:rPr>
          <w:szCs w:val="22"/>
          <w:lang w:val="el-GR" w:eastAsia="el-GR"/>
        </w:rPr>
        <w:tab/>
      </w:r>
      <w:r>
        <w:rPr>
          <w:szCs w:val="22"/>
          <w:lang w:val="el-GR" w:eastAsia="el-GR"/>
        </w:rPr>
        <w:tab/>
      </w:r>
      <w:r>
        <w:rPr>
          <w:szCs w:val="22"/>
          <w:lang w:val="el-GR" w:eastAsia="el-GR"/>
        </w:rPr>
        <w:tab/>
      </w:r>
      <w:r>
        <w:rPr>
          <w:szCs w:val="22"/>
          <w:lang w:val="el-GR" w:eastAsia="el-GR"/>
        </w:rPr>
        <w:tab/>
        <w:t xml:space="preserve"> </w:t>
      </w:r>
      <w:r>
        <w:rPr>
          <w:szCs w:val="22"/>
          <w:lang w:val="el-GR" w:eastAsia="el-GR"/>
        </w:rPr>
        <w:tab/>
      </w:r>
      <w:r>
        <w:rPr>
          <w:szCs w:val="22"/>
          <w:lang w:val="el-GR" w:eastAsia="el-GR"/>
        </w:rPr>
        <w:tab/>
        <w:t xml:space="preserve"> </w:t>
      </w:r>
      <w:r w:rsidRPr="00493221">
        <w:rPr>
          <w:szCs w:val="22"/>
          <w:lang w:val="el-GR" w:eastAsia="el-GR"/>
        </w:rPr>
        <w:t>Μάριος Ψάλτης</w:t>
      </w:r>
    </w:p>
    <w:p w:rsidR="004B417C" w:rsidRPr="00493221" w:rsidRDefault="004B417C" w:rsidP="00493221">
      <w:pPr>
        <w:rPr>
          <w:szCs w:val="22"/>
          <w:lang w:val="el-GR"/>
        </w:rPr>
      </w:pPr>
      <w:r>
        <w:rPr>
          <w:szCs w:val="22"/>
          <w:lang w:val="el-GR"/>
        </w:rPr>
        <w:t>ΑΜ ΣΟΕΛ 113</w:t>
      </w:r>
      <w:r>
        <w:rPr>
          <w:szCs w:val="22"/>
          <w:lang w:val="el-GR"/>
        </w:rPr>
        <w:tab/>
      </w:r>
      <w:r>
        <w:rPr>
          <w:szCs w:val="22"/>
          <w:lang w:val="el-GR"/>
        </w:rPr>
        <w:tab/>
      </w:r>
      <w:r>
        <w:rPr>
          <w:szCs w:val="22"/>
          <w:lang w:val="el-GR"/>
        </w:rPr>
        <w:tab/>
      </w:r>
      <w:r>
        <w:rPr>
          <w:szCs w:val="22"/>
          <w:lang w:val="el-GR"/>
        </w:rPr>
        <w:tab/>
      </w:r>
      <w:r>
        <w:rPr>
          <w:szCs w:val="22"/>
          <w:lang w:val="el-GR"/>
        </w:rPr>
        <w:tab/>
      </w:r>
      <w:r>
        <w:rPr>
          <w:szCs w:val="22"/>
          <w:lang w:val="el-GR"/>
        </w:rPr>
        <w:tab/>
      </w:r>
      <w:r>
        <w:rPr>
          <w:szCs w:val="22"/>
          <w:lang w:val="el-GR"/>
        </w:rPr>
        <w:tab/>
      </w:r>
      <w:r>
        <w:rPr>
          <w:szCs w:val="22"/>
          <w:lang w:val="el-GR"/>
        </w:rPr>
        <w:tab/>
        <w:t xml:space="preserve"> </w:t>
      </w:r>
      <w:r w:rsidRPr="00493221">
        <w:rPr>
          <w:szCs w:val="22"/>
          <w:lang w:val="el-GR" w:eastAsia="el-GR"/>
        </w:rPr>
        <w:t xml:space="preserve">Αρ Μ ΣΟΕΛ 38081 </w:t>
      </w:r>
    </w:p>
    <w:p w:rsidR="004B417C" w:rsidRPr="00E15F31" w:rsidRDefault="004B417C" w:rsidP="00493221">
      <w:pPr>
        <w:rPr>
          <w:lang w:val="el-GR"/>
        </w:rPr>
      </w:pPr>
    </w:p>
    <w:p w:rsidR="004B417C" w:rsidRDefault="004B417C" w:rsidP="0017021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360" w:lineRule="auto"/>
        <w:jc w:val="center"/>
        <w:rPr>
          <w:b/>
          <w:sz w:val="20"/>
          <w:lang w:val="el-GR"/>
        </w:rPr>
      </w:pPr>
    </w:p>
    <w:p w:rsidR="004B417C" w:rsidRDefault="004B417C" w:rsidP="00C63334">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360" w:lineRule="auto"/>
        <w:rPr>
          <w:b/>
          <w:sz w:val="20"/>
          <w:lang w:val="el-GR"/>
        </w:rPr>
      </w:pPr>
    </w:p>
    <w:p w:rsidR="004B417C" w:rsidRDefault="004B417C" w:rsidP="00C63334">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360" w:lineRule="auto"/>
        <w:rPr>
          <w:b/>
          <w:sz w:val="20"/>
          <w:lang w:val="el-GR"/>
        </w:rPr>
      </w:pPr>
    </w:p>
    <w:p w:rsidR="004B417C" w:rsidRPr="004B5CBC" w:rsidRDefault="001D437A" w:rsidP="004B5CBC">
      <w:pPr>
        <w:autoSpaceDE w:val="0"/>
        <w:autoSpaceDN w:val="0"/>
        <w:adjustRightInd w:val="0"/>
        <w:ind w:left="1213"/>
        <w:rPr>
          <w:b/>
          <w:lang w:val="el-GR" w:eastAsia="el-GR"/>
        </w:rPr>
      </w:pPr>
      <w:bookmarkStart w:id="1" w:name="FirstPageHeader"/>
      <w:bookmarkEnd w:id="1"/>
      <w:r>
        <w:rPr>
          <w:noProof/>
        </w:rPr>
        <w:drawing>
          <wp:anchor distT="0" distB="0" distL="114300" distR="114300" simplePos="0" relativeHeight="251659264" behindDoc="0" locked="1" layoutInCell="1" allowOverlap="1">
            <wp:simplePos x="0" y="0"/>
            <wp:positionH relativeFrom="page">
              <wp:posOffset>428625</wp:posOffset>
            </wp:positionH>
            <wp:positionV relativeFrom="page">
              <wp:posOffset>532765</wp:posOffset>
            </wp:positionV>
            <wp:extent cx="1409700" cy="11906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09700" cy="1190625"/>
                    </a:xfrm>
                    <a:prstGeom prst="rect">
                      <a:avLst/>
                    </a:prstGeom>
                    <a:noFill/>
                  </pic:spPr>
                </pic:pic>
              </a:graphicData>
            </a:graphic>
          </wp:anchor>
        </w:drawing>
      </w:r>
      <w:r w:rsidR="004B417C" w:rsidRPr="009910C6">
        <w:rPr>
          <w:b/>
          <w:bCs/>
          <w:color w:val="808080"/>
          <w:spacing w:val="4"/>
          <w:szCs w:val="22"/>
          <w:lang w:val="el-GR"/>
        </w:rPr>
        <w:t>Έκθεση</w:t>
      </w:r>
      <w:r w:rsidR="004B417C" w:rsidRPr="009910C6">
        <w:rPr>
          <w:b/>
          <w:szCs w:val="22"/>
          <w:lang w:val="el-GR" w:eastAsia="el-GR"/>
        </w:rPr>
        <w:t xml:space="preserve"> </w:t>
      </w:r>
      <w:r w:rsidR="004B417C" w:rsidRPr="009910C6">
        <w:rPr>
          <w:b/>
          <w:bCs/>
          <w:color w:val="808080"/>
          <w:spacing w:val="4"/>
          <w:szCs w:val="22"/>
          <w:lang w:val="el-GR"/>
        </w:rPr>
        <w:t>Ελέγχου Ανεξάρτητου Ορκωτού Ελεγκτή Λογιστή</w:t>
      </w:r>
    </w:p>
    <w:p w:rsidR="004B417C" w:rsidRPr="009910C6" w:rsidRDefault="004B417C" w:rsidP="00BB31E4">
      <w:pPr>
        <w:autoSpaceDE w:val="0"/>
        <w:autoSpaceDN w:val="0"/>
        <w:adjustRightInd w:val="0"/>
        <w:jc w:val="center"/>
        <w:rPr>
          <w:b/>
          <w:bCs/>
          <w:color w:val="000000"/>
          <w:szCs w:val="22"/>
          <w:lang w:val="el-GR"/>
        </w:rPr>
      </w:pPr>
      <w:r w:rsidRPr="009910C6">
        <w:rPr>
          <w:b/>
          <w:bCs/>
          <w:spacing w:val="4"/>
          <w:szCs w:val="22"/>
          <w:lang w:val="el-GR"/>
        </w:rPr>
        <w:t xml:space="preserve">Προς τους Μετόχους της Ανώνυμης </w:t>
      </w:r>
      <w:r w:rsidRPr="009910C6">
        <w:rPr>
          <w:b/>
          <w:bCs/>
          <w:color w:val="000000"/>
          <w:szCs w:val="22"/>
          <w:lang w:val="el-GR"/>
        </w:rPr>
        <w:t>Εταιρείας</w:t>
      </w:r>
    </w:p>
    <w:p w:rsidR="004B417C" w:rsidRPr="009910C6" w:rsidRDefault="004B417C" w:rsidP="00BB31E4">
      <w:pPr>
        <w:autoSpaceDE w:val="0"/>
        <w:autoSpaceDN w:val="0"/>
        <w:adjustRightInd w:val="0"/>
        <w:jc w:val="center"/>
        <w:rPr>
          <w:b/>
          <w:bCs/>
          <w:spacing w:val="4"/>
          <w:szCs w:val="22"/>
          <w:lang w:val="el-GR"/>
        </w:rPr>
      </w:pPr>
      <w:r w:rsidRPr="009910C6">
        <w:rPr>
          <w:b/>
          <w:bCs/>
          <w:spacing w:val="4"/>
          <w:szCs w:val="22"/>
          <w:lang w:val="el-GR"/>
        </w:rPr>
        <w:t>«</w:t>
      </w:r>
      <w:r w:rsidRPr="009910C6">
        <w:rPr>
          <w:b/>
          <w:bCs/>
          <w:spacing w:val="4"/>
          <w:szCs w:val="22"/>
        </w:rPr>
        <w:t>ATE</w:t>
      </w:r>
      <w:r w:rsidRPr="009910C6">
        <w:rPr>
          <w:b/>
          <w:bCs/>
          <w:spacing w:val="4"/>
          <w:szCs w:val="22"/>
          <w:lang w:val="el-GR"/>
        </w:rPr>
        <w:t xml:space="preserve"> </w:t>
      </w:r>
      <w:r w:rsidRPr="009910C6">
        <w:rPr>
          <w:b/>
          <w:bCs/>
          <w:spacing w:val="4"/>
          <w:szCs w:val="22"/>
        </w:rPr>
        <w:t>LEASING</w:t>
      </w:r>
      <w:r w:rsidRPr="009910C6">
        <w:rPr>
          <w:b/>
          <w:bCs/>
          <w:spacing w:val="4"/>
          <w:szCs w:val="22"/>
          <w:lang w:val="el-GR"/>
        </w:rPr>
        <w:t xml:space="preserve"> ΑΝΩΝΥΜΗ ΕΤΑΙΡΕΙΑ ΧΡΗΜΑΤΟΔΟΤΙΚΗΣ ΜΙΣΘΩΣΗΣ»</w:t>
      </w:r>
    </w:p>
    <w:p w:rsidR="004B417C" w:rsidRPr="009910C6" w:rsidRDefault="004B417C" w:rsidP="00BB31E4">
      <w:pPr>
        <w:autoSpaceDE w:val="0"/>
        <w:autoSpaceDN w:val="0"/>
        <w:adjustRightInd w:val="0"/>
        <w:jc w:val="center"/>
        <w:rPr>
          <w:b/>
          <w:bCs/>
          <w:spacing w:val="4"/>
          <w:szCs w:val="22"/>
          <w:lang w:val="el-GR"/>
        </w:rPr>
      </w:pPr>
      <w:r w:rsidRPr="009910C6">
        <w:rPr>
          <w:b/>
          <w:bCs/>
          <w:spacing w:val="4"/>
          <w:szCs w:val="22"/>
        </w:rPr>
        <w:t>A</w:t>
      </w:r>
      <w:r w:rsidRPr="009910C6">
        <w:rPr>
          <w:b/>
          <w:bCs/>
          <w:spacing w:val="4"/>
          <w:szCs w:val="22"/>
          <w:lang w:val="el-GR"/>
        </w:rPr>
        <w:t>.</w:t>
      </w:r>
      <w:r w:rsidRPr="009910C6">
        <w:rPr>
          <w:b/>
          <w:bCs/>
          <w:spacing w:val="4"/>
          <w:szCs w:val="22"/>
        </w:rPr>
        <w:t>M</w:t>
      </w:r>
      <w:r w:rsidRPr="009910C6">
        <w:rPr>
          <w:b/>
          <w:bCs/>
          <w:spacing w:val="4"/>
          <w:szCs w:val="22"/>
          <w:lang w:val="el-GR"/>
        </w:rPr>
        <w:t>.</w:t>
      </w:r>
      <w:r w:rsidRPr="009910C6">
        <w:rPr>
          <w:b/>
          <w:bCs/>
          <w:spacing w:val="4"/>
          <w:szCs w:val="22"/>
        </w:rPr>
        <w:t>A</w:t>
      </w:r>
      <w:r w:rsidRPr="009910C6">
        <w:rPr>
          <w:b/>
          <w:bCs/>
          <w:spacing w:val="4"/>
          <w:szCs w:val="22"/>
          <w:lang w:val="el-GR"/>
        </w:rPr>
        <w:t>.</w:t>
      </w:r>
      <w:r w:rsidRPr="009910C6">
        <w:rPr>
          <w:b/>
          <w:bCs/>
          <w:spacing w:val="4"/>
          <w:szCs w:val="22"/>
        </w:rPr>
        <w:t>E</w:t>
      </w:r>
      <w:r w:rsidRPr="009910C6">
        <w:rPr>
          <w:b/>
          <w:bCs/>
          <w:spacing w:val="4"/>
          <w:szCs w:val="22"/>
          <w:lang w:val="el-GR"/>
        </w:rPr>
        <w:t>. 23927/01/</w:t>
      </w:r>
      <w:r w:rsidRPr="009910C6">
        <w:rPr>
          <w:b/>
          <w:bCs/>
          <w:spacing w:val="4"/>
          <w:szCs w:val="22"/>
        </w:rPr>
        <w:t>B</w:t>
      </w:r>
      <w:r w:rsidRPr="009910C6">
        <w:rPr>
          <w:b/>
          <w:bCs/>
          <w:spacing w:val="4"/>
          <w:szCs w:val="22"/>
          <w:lang w:val="el-GR"/>
        </w:rPr>
        <w:t>/91/185</w:t>
      </w:r>
    </w:p>
    <w:p w:rsidR="004B417C" w:rsidRPr="009910C6" w:rsidRDefault="004B417C" w:rsidP="00BA7282">
      <w:pPr>
        <w:autoSpaceDE w:val="0"/>
        <w:autoSpaceDN w:val="0"/>
        <w:adjustRightInd w:val="0"/>
        <w:rPr>
          <w:b/>
          <w:szCs w:val="22"/>
          <w:lang w:val="el-GR" w:eastAsia="el-GR"/>
        </w:rPr>
      </w:pPr>
    </w:p>
    <w:p w:rsidR="004B417C" w:rsidRPr="009910C6" w:rsidRDefault="004B417C" w:rsidP="00BA7282">
      <w:pPr>
        <w:autoSpaceDE w:val="0"/>
        <w:autoSpaceDN w:val="0"/>
        <w:adjustRightInd w:val="0"/>
        <w:rPr>
          <w:b/>
          <w:szCs w:val="22"/>
          <w:lang w:val="el-GR" w:eastAsia="el-GR"/>
        </w:rPr>
      </w:pPr>
    </w:p>
    <w:p w:rsidR="004B417C" w:rsidRPr="009910C6" w:rsidRDefault="004B417C" w:rsidP="00BA7282">
      <w:pPr>
        <w:autoSpaceDE w:val="0"/>
        <w:autoSpaceDN w:val="0"/>
        <w:adjustRightInd w:val="0"/>
        <w:rPr>
          <w:b/>
          <w:szCs w:val="22"/>
          <w:lang w:val="el-GR" w:eastAsia="el-GR"/>
        </w:rPr>
      </w:pPr>
      <w:r w:rsidRPr="009910C6">
        <w:rPr>
          <w:b/>
          <w:szCs w:val="22"/>
          <w:lang w:val="el-GR" w:eastAsia="el-GR"/>
        </w:rPr>
        <w:t>Έκθεση επί των Οικονομικών Καταστάσεων</w:t>
      </w:r>
    </w:p>
    <w:p w:rsidR="004B417C" w:rsidRPr="009910C6" w:rsidRDefault="004B417C" w:rsidP="00BA7282">
      <w:pPr>
        <w:autoSpaceDE w:val="0"/>
        <w:autoSpaceDN w:val="0"/>
        <w:adjustRightInd w:val="0"/>
        <w:rPr>
          <w:color w:val="000000"/>
          <w:szCs w:val="22"/>
          <w:lang w:val="el-GR" w:eastAsia="el-GR"/>
        </w:rPr>
      </w:pPr>
    </w:p>
    <w:p w:rsidR="004B417C" w:rsidRPr="009910C6" w:rsidRDefault="004B417C" w:rsidP="00BA7282">
      <w:pPr>
        <w:tabs>
          <w:tab w:val="clear" w:pos="907"/>
          <w:tab w:val="clear" w:pos="1644"/>
          <w:tab w:val="clear" w:pos="6322"/>
          <w:tab w:val="left" w:pos="905"/>
          <w:tab w:val="left" w:pos="1265"/>
          <w:tab w:val="left" w:pos="1625"/>
          <w:tab w:val="left" w:pos="1985"/>
          <w:tab w:val="left" w:pos="3425"/>
          <w:tab w:val="left" w:pos="4865"/>
          <w:tab w:val="left" w:pos="6320"/>
          <w:tab w:val="left" w:pos="7745"/>
          <w:tab w:val="left" w:pos="9185"/>
          <w:tab w:val="left" w:pos="10970"/>
        </w:tabs>
        <w:autoSpaceDE w:val="0"/>
        <w:autoSpaceDN w:val="0"/>
        <w:adjustRightInd w:val="0"/>
        <w:jc w:val="both"/>
        <w:rPr>
          <w:spacing w:val="1"/>
          <w:szCs w:val="22"/>
          <w:lang w:val="el-GR"/>
        </w:rPr>
      </w:pPr>
      <w:r w:rsidRPr="009910C6">
        <w:rPr>
          <w:spacing w:val="1"/>
          <w:szCs w:val="22"/>
          <w:lang w:val="el-GR"/>
        </w:rPr>
        <w:t>Ελέγξαμε τις συνημμένες οικονομικές καταστάσεις της Ανώνυμης Εταιρείας «</w:t>
      </w:r>
      <w:r w:rsidRPr="009910C6">
        <w:rPr>
          <w:bCs/>
          <w:spacing w:val="4"/>
          <w:szCs w:val="22"/>
        </w:rPr>
        <w:t>ATE</w:t>
      </w:r>
      <w:r w:rsidRPr="009910C6">
        <w:rPr>
          <w:bCs/>
          <w:spacing w:val="4"/>
          <w:szCs w:val="22"/>
          <w:lang w:val="el-GR"/>
        </w:rPr>
        <w:t xml:space="preserve"> </w:t>
      </w:r>
      <w:r w:rsidRPr="009910C6">
        <w:rPr>
          <w:bCs/>
          <w:spacing w:val="4"/>
          <w:szCs w:val="22"/>
        </w:rPr>
        <w:t>LEASING</w:t>
      </w:r>
      <w:r w:rsidRPr="009910C6">
        <w:rPr>
          <w:bCs/>
          <w:spacing w:val="4"/>
          <w:szCs w:val="22"/>
          <w:lang w:val="el-GR"/>
        </w:rPr>
        <w:t xml:space="preserve"> ΑΝΩΝΥΜΗ ΕΤΑΙΡΕΙΑ ΧΡΗΜΑΤΟΔΟΤΙΚΗΣ ΜΙΣΘΩΣΗΣ</w:t>
      </w:r>
      <w:r w:rsidRPr="009910C6">
        <w:rPr>
          <w:spacing w:val="1"/>
          <w:szCs w:val="22"/>
          <w:lang w:val="el-GR"/>
        </w:rPr>
        <w:t>» (η «Εταιρεία»), οι οποίες αποτελούνται από την κατάσταση οικονομική</w:t>
      </w:r>
      <w:r>
        <w:rPr>
          <w:spacing w:val="1"/>
          <w:szCs w:val="22"/>
          <w:lang w:val="el-GR"/>
        </w:rPr>
        <w:t>ς θέσης της 31ης Δεκεμβρίου 2012</w:t>
      </w:r>
      <w:r w:rsidRPr="009910C6">
        <w:rPr>
          <w:spacing w:val="1"/>
          <w:szCs w:val="22"/>
          <w:lang w:val="el-GR"/>
        </w:rPr>
        <w:t xml:space="preserve">, τις </w:t>
      </w:r>
      <w:r>
        <w:rPr>
          <w:spacing w:val="1"/>
          <w:szCs w:val="22"/>
          <w:lang w:val="el-GR"/>
        </w:rPr>
        <w:t>καταστάσεις συνολικών εσόδων</w:t>
      </w:r>
      <w:r w:rsidRPr="009910C6">
        <w:rPr>
          <w:spacing w:val="1"/>
          <w:szCs w:val="22"/>
          <w:lang w:val="el-GR"/>
        </w:rPr>
        <w:t>, μεταβολών ιδίων κεφαλαίων και ταμειακών ροών της χρήσης που έληξε την ημερομηνία αυτή, καθώς και περίληψη των σημαντικών λογιστικών πολιτικών και λοιπές επεξηγηματικές σημειώσεις.</w:t>
      </w:r>
    </w:p>
    <w:p w:rsidR="004B417C" w:rsidRPr="009910C6" w:rsidRDefault="004B417C" w:rsidP="00BA7282">
      <w:pPr>
        <w:autoSpaceDE w:val="0"/>
        <w:autoSpaceDN w:val="0"/>
        <w:adjustRightInd w:val="0"/>
        <w:rPr>
          <w:szCs w:val="22"/>
          <w:lang w:val="el-GR" w:eastAsia="el-GR"/>
        </w:rPr>
      </w:pPr>
    </w:p>
    <w:p w:rsidR="004B417C" w:rsidRPr="009910C6" w:rsidRDefault="004B417C" w:rsidP="00BA7282">
      <w:pPr>
        <w:autoSpaceDE w:val="0"/>
        <w:autoSpaceDN w:val="0"/>
        <w:adjustRightInd w:val="0"/>
        <w:rPr>
          <w:b/>
          <w:szCs w:val="22"/>
          <w:lang w:val="el-GR" w:eastAsia="el-GR"/>
        </w:rPr>
      </w:pPr>
      <w:r w:rsidRPr="009910C6">
        <w:rPr>
          <w:b/>
          <w:szCs w:val="22"/>
          <w:lang w:val="el-GR" w:eastAsia="el-GR"/>
        </w:rPr>
        <w:t>Ευθύνη της Διοίκησης για τις Οικονομικές Καταστάσεις</w:t>
      </w:r>
    </w:p>
    <w:p w:rsidR="004B417C" w:rsidRPr="009910C6" w:rsidRDefault="004B417C" w:rsidP="00BA7282">
      <w:pPr>
        <w:autoSpaceDE w:val="0"/>
        <w:autoSpaceDN w:val="0"/>
        <w:adjustRightInd w:val="0"/>
        <w:spacing w:line="160" w:lineRule="atLeast"/>
        <w:jc w:val="both"/>
        <w:rPr>
          <w:szCs w:val="22"/>
          <w:lang w:val="el-GR" w:eastAsia="el-GR"/>
        </w:rPr>
      </w:pPr>
    </w:p>
    <w:p w:rsidR="004B417C" w:rsidRPr="009910C6" w:rsidRDefault="004B417C" w:rsidP="00BA7282">
      <w:pPr>
        <w:autoSpaceDE w:val="0"/>
        <w:autoSpaceDN w:val="0"/>
        <w:adjustRightInd w:val="0"/>
        <w:jc w:val="both"/>
        <w:rPr>
          <w:szCs w:val="22"/>
          <w:lang w:val="el-GR" w:eastAsia="el-GR"/>
        </w:rPr>
      </w:pPr>
      <w:r w:rsidRPr="009910C6">
        <w:rPr>
          <w:szCs w:val="22"/>
          <w:lang w:val="el-GR" w:eastAsia="el-GR"/>
        </w:rPr>
        <w:t>Η διοίκηση έχει την ευθύνη για την κατάρτιση και εύλογη παρουσίαση αυτών των οικονομικών καταστάσεων σύμφωνα με τα Διεθνή Πρότυπα Χρηματοοικονομικής Αναφοράς, όπως αυτά έχουν υιοθετηθεί από την Ευρωπαϊκή Ένωση, όπως και για εκείνες τις εσωτερικές δικλείδες, που η διοίκηση καθορίζει ως απαραίτητες, ώστε να καθίσταται δυνατή η κατάρτιση οικονομικών καταστάσεων απαλλαγμένων από ουσιώδη ανακρίβεια, που οφείλεται είτε σε απάτη είτε σε λάθος.</w:t>
      </w:r>
    </w:p>
    <w:p w:rsidR="004B417C" w:rsidRPr="009910C6" w:rsidRDefault="004B417C" w:rsidP="00BA7282">
      <w:pPr>
        <w:autoSpaceDE w:val="0"/>
        <w:autoSpaceDN w:val="0"/>
        <w:adjustRightInd w:val="0"/>
        <w:jc w:val="both"/>
        <w:rPr>
          <w:szCs w:val="22"/>
          <w:lang w:val="el-GR" w:eastAsia="el-GR"/>
        </w:rPr>
      </w:pPr>
    </w:p>
    <w:p w:rsidR="004B417C" w:rsidRPr="009910C6" w:rsidRDefault="004B417C" w:rsidP="00BA7282">
      <w:pPr>
        <w:autoSpaceDE w:val="0"/>
        <w:autoSpaceDN w:val="0"/>
        <w:adjustRightInd w:val="0"/>
        <w:rPr>
          <w:b/>
          <w:szCs w:val="22"/>
          <w:lang w:val="el-GR" w:eastAsia="el-GR"/>
        </w:rPr>
      </w:pPr>
      <w:r w:rsidRPr="009910C6">
        <w:rPr>
          <w:b/>
          <w:szCs w:val="22"/>
          <w:lang w:val="el-GR" w:eastAsia="el-GR"/>
        </w:rPr>
        <w:t>Ευθύνη του Ελεγκτή</w:t>
      </w:r>
    </w:p>
    <w:p w:rsidR="004B417C" w:rsidRPr="009910C6" w:rsidRDefault="004B417C" w:rsidP="00BA7282">
      <w:pPr>
        <w:autoSpaceDE w:val="0"/>
        <w:autoSpaceDN w:val="0"/>
        <w:adjustRightInd w:val="0"/>
        <w:rPr>
          <w:b/>
          <w:szCs w:val="22"/>
          <w:lang w:val="el-GR" w:eastAsia="el-GR"/>
        </w:rPr>
      </w:pPr>
    </w:p>
    <w:p w:rsidR="004B417C" w:rsidRPr="009910C6" w:rsidRDefault="004B417C" w:rsidP="00BA7282">
      <w:pPr>
        <w:autoSpaceDE w:val="0"/>
        <w:autoSpaceDN w:val="0"/>
        <w:adjustRightInd w:val="0"/>
        <w:jc w:val="both"/>
        <w:rPr>
          <w:szCs w:val="22"/>
          <w:lang w:val="el-GR" w:eastAsia="el-GR"/>
        </w:rPr>
      </w:pPr>
      <w:r w:rsidRPr="009910C6">
        <w:rPr>
          <w:szCs w:val="22"/>
          <w:lang w:val="el-GR" w:eastAsia="el-GR"/>
        </w:rPr>
        <w:t>Η δική μας ευθύνη είναι να εκφράσουμε γνώμη επί αυτών των οικονομικών καταστάσεων με βάση τον έλεγχό μας.  Διενεργήσαμε τον έλεγχό μας σύμφωνα με τα Διεθνή Πρότυπα Ελέγχου.  Τα πρότυπα αυτά απαιτούν να συμμορφωνόμαστε με κανόνες δεοντολογίας, καθώς και να σχεδιάζουμε και διενεργούμε τον έλεγχο με σκοπό την απόκτηση εύλογης διασφάλισης για το εάν οι οικονομικές καταστάσεις είναι απαλλαγμένες από ουσιώδη ανακρίβεια.</w:t>
      </w:r>
    </w:p>
    <w:p w:rsidR="004B417C" w:rsidRPr="009910C6" w:rsidRDefault="004B417C" w:rsidP="00BA7282">
      <w:pPr>
        <w:autoSpaceDE w:val="0"/>
        <w:autoSpaceDN w:val="0"/>
        <w:adjustRightInd w:val="0"/>
        <w:jc w:val="both"/>
        <w:rPr>
          <w:szCs w:val="22"/>
          <w:lang w:val="el-GR" w:eastAsia="el-GR"/>
        </w:rPr>
      </w:pPr>
    </w:p>
    <w:p w:rsidR="004B417C" w:rsidRPr="009910C6" w:rsidRDefault="004B417C" w:rsidP="00BA7282">
      <w:pPr>
        <w:autoSpaceDE w:val="0"/>
        <w:autoSpaceDN w:val="0"/>
        <w:adjustRightInd w:val="0"/>
        <w:jc w:val="both"/>
        <w:rPr>
          <w:szCs w:val="22"/>
          <w:lang w:val="el-GR" w:eastAsia="el-GR"/>
        </w:rPr>
      </w:pPr>
      <w:r w:rsidRPr="009910C6">
        <w:rPr>
          <w:szCs w:val="22"/>
          <w:lang w:val="el-GR" w:eastAsia="el-GR"/>
        </w:rPr>
        <w:t>Ο έλεγχος περιλαμβάνει τη διενέργεια διαδικασιών για την απόκτηση ελεγκτικών τεκμηρίων, σχετικά με τα ποσά και τις γνωστοποιήσεις στις οικονομικές καταστάσεις.  Οι επιλεγόμενες διαδικασίες βασίζονται στην κρίση του ελεγκτή περιλαμβανομένης της εκτίμησης των κινδύνων ουσιώδους ανακρίβειας των οικονομικών καταστάσεων, που οφείλεται είτε σε απάτη είτε σε λάθος.  Κατά τη διενέργεια αυτών των εκτιμήσεων κινδύνου, ο ελεγκτής εξετάζει τις εσωτερικές δικλείδες που σχετίζονται με την  κατάρτιση και εύλογη παρουσίαση των οικονομικών καταστάσεων της Εταιρείας, με σκοπό το σχεδιασμό ελεγκτικών διαδικασιών κατάλληλων για τις περιστάσεις, αλλά όχι με σκοπό την έκφραση γνώμης επί της αποτελεσματικότητας των εσωτερικών δικλείδων της Εταιρείας. Ο έλεγχος περιλαμβάνει επίσης την αξιολόγηση της καταλληλότητας των λογιστικών αρχών και μεθόδων που χρησιμοποιήθηκαν και του εύλογου των εκτιμήσεων που έγιναν από τη διοίκηση, καθώς και αξιολόγηση της συνολικής παρουσίασης των οικονομικών καταστάσεων.</w:t>
      </w:r>
    </w:p>
    <w:p w:rsidR="004B417C" w:rsidRPr="009910C6" w:rsidRDefault="004B417C" w:rsidP="00BA7282">
      <w:pPr>
        <w:autoSpaceDE w:val="0"/>
        <w:autoSpaceDN w:val="0"/>
        <w:adjustRightInd w:val="0"/>
        <w:jc w:val="both"/>
        <w:rPr>
          <w:szCs w:val="22"/>
          <w:lang w:val="el-GR" w:eastAsia="el-GR"/>
        </w:rPr>
      </w:pPr>
    </w:p>
    <w:p w:rsidR="004B417C" w:rsidRDefault="004B417C" w:rsidP="00237622">
      <w:pPr>
        <w:autoSpaceDE w:val="0"/>
        <w:autoSpaceDN w:val="0"/>
        <w:adjustRightInd w:val="0"/>
        <w:jc w:val="both"/>
        <w:rPr>
          <w:szCs w:val="22"/>
          <w:lang w:val="el-GR" w:eastAsia="el-GR"/>
        </w:rPr>
      </w:pPr>
      <w:r w:rsidRPr="009910C6">
        <w:rPr>
          <w:szCs w:val="22"/>
          <w:lang w:val="el-GR" w:eastAsia="el-GR"/>
        </w:rPr>
        <w:t>Πιστεύουμε ότι τα ελεγκτικά τεκμήρια που έχουμε συγκεντρώσει είναι επαρκή και κατάλληλα για τη θεμελίωση της ελεγκτικής μας γνώμης.</w:t>
      </w:r>
    </w:p>
    <w:p w:rsidR="004B417C" w:rsidRDefault="004B417C" w:rsidP="00237622">
      <w:pPr>
        <w:autoSpaceDE w:val="0"/>
        <w:autoSpaceDN w:val="0"/>
        <w:adjustRightInd w:val="0"/>
        <w:jc w:val="both"/>
        <w:rPr>
          <w:szCs w:val="22"/>
          <w:lang w:val="el-GR" w:eastAsia="el-GR"/>
        </w:rPr>
      </w:pPr>
    </w:p>
    <w:p w:rsidR="00025E8C" w:rsidRPr="00025BB4" w:rsidRDefault="00025E8C" w:rsidP="00574569">
      <w:pPr>
        <w:autoSpaceDE w:val="0"/>
        <w:autoSpaceDN w:val="0"/>
        <w:adjustRightInd w:val="0"/>
        <w:rPr>
          <w:b/>
          <w:szCs w:val="22"/>
          <w:lang w:val="el-GR" w:eastAsia="el-GR"/>
        </w:rPr>
      </w:pPr>
    </w:p>
    <w:p w:rsidR="00025E8C" w:rsidRPr="00025BB4" w:rsidRDefault="00025E8C" w:rsidP="00574569">
      <w:pPr>
        <w:autoSpaceDE w:val="0"/>
        <w:autoSpaceDN w:val="0"/>
        <w:adjustRightInd w:val="0"/>
        <w:rPr>
          <w:b/>
          <w:szCs w:val="22"/>
          <w:lang w:val="el-GR" w:eastAsia="el-GR"/>
        </w:rPr>
      </w:pPr>
    </w:p>
    <w:p w:rsidR="004B417C" w:rsidRPr="008D4BD0" w:rsidRDefault="004B417C" w:rsidP="00574569">
      <w:pPr>
        <w:autoSpaceDE w:val="0"/>
        <w:autoSpaceDN w:val="0"/>
        <w:adjustRightInd w:val="0"/>
        <w:rPr>
          <w:b/>
          <w:szCs w:val="22"/>
          <w:lang w:val="el-GR" w:eastAsia="el-GR"/>
        </w:rPr>
      </w:pPr>
      <w:r w:rsidRPr="008D4BD0">
        <w:rPr>
          <w:b/>
          <w:szCs w:val="22"/>
          <w:lang w:val="el-GR" w:eastAsia="el-GR"/>
        </w:rPr>
        <w:lastRenderedPageBreak/>
        <w:t>Γνώμη</w:t>
      </w:r>
    </w:p>
    <w:p w:rsidR="004B417C" w:rsidRPr="008D4BD0" w:rsidRDefault="004B417C" w:rsidP="00574569">
      <w:pPr>
        <w:autoSpaceDE w:val="0"/>
        <w:autoSpaceDN w:val="0"/>
        <w:adjustRightInd w:val="0"/>
        <w:rPr>
          <w:b/>
          <w:szCs w:val="22"/>
          <w:lang w:val="el-GR" w:eastAsia="el-GR"/>
        </w:rPr>
      </w:pPr>
    </w:p>
    <w:p w:rsidR="004B417C" w:rsidRPr="008D4BD0" w:rsidRDefault="004B417C" w:rsidP="00574569">
      <w:pPr>
        <w:autoSpaceDE w:val="0"/>
        <w:autoSpaceDN w:val="0"/>
        <w:adjustRightInd w:val="0"/>
        <w:jc w:val="both"/>
        <w:rPr>
          <w:szCs w:val="22"/>
          <w:lang w:val="el-GR" w:eastAsia="el-GR"/>
        </w:rPr>
      </w:pPr>
      <w:r w:rsidRPr="008D4BD0">
        <w:rPr>
          <w:szCs w:val="22"/>
          <w:lang w:val="el-GR" w:eastAsia="el-GR"/>
        </w:rPr>
        <w:t>Κατά τη γνώμη μας, οι συνημμένες οικονομικές καταστάσεις παρουσιάζουν εύλογα από κάθε ουσιώδη άποψη την οικονομική θέση της Τράπεζας κατά την 31η Δεκεμβρίου 2012 και τη χρηματοοικονομική της επίδοση και τις ταμειακές της ροές για τη χρήση που έληξε την ημερομηνία αυτή σύμφωνα με τα Διεθνή Πρότυπα Χρηματοοικονομικής Αναφοράς, όπως αυτά έχουν υιοθετηθεί από την Ευρωπαϊκή Ένωση.</w:t>
      </w:r>
    </w:p>
    <w:p w:rsidR="004B417C" w:rsidRPr="008D4BD0" w:rsidRDefault="004B417C" w:rsidP="00574569">
      <w:pPr>
        <w:autoSpaceDE w:val="0"/>
        <w:autoSpaceDN w:val="0"/>
        <w:adjustRightInd w:val="0"/>
        <w:rPr>
          <w:b/>
          <w:szCs w:val="22"/>
          <w:lang w:val="el-GR" w:eastAsia="el-GR"/>
        </w:rPr>
      </w:pPr>
    </w:p>
    <w:p w:rsidR="004B417C" w:rsidRPr="008D4BD0" w:rsidRDefault="004B417C" w:rsidP="00574569">
      <w:pPr>
        <w:autoSpaceDE w:val="0"/>
        <w:autoSpaceDN w:val="0"/>
        <w:adjustRightInd w:val="0"/>
        <w:rPr>
          <w:b/>
          <w:szCs w:val="22"/>
          <w:lang w:val="el-GR" w:eastAsia="el-GR"/>
        </w:rPr>
      </w:pPr>
      <w:r w:rsidRPr="008D4BD0">
        <w:rPr>
          <w:b/>
          <w:szCs w:val="22"/>
          <w:lang w:val="el-GR" w:eastAsia="el-GR"/>
        </w:rPr>
        <w:t>Θέμα Έμφασης</w:t>
      </w:r>
    </w:p>
    <w:p w:rsidR="004B417C" w:rsidRPr="008D4BD0" w:rsidRDefault="004B417C" w:rsidP="00574569">
      <w:pPr>
        <w:autoSpaceDE w:val="0"/>
        <w:autoSpaceDN w:val="0"/>
        <w:adjustRightInd w:val="0"/>
        <w:rPr>
          <w:b/>
          <w:szCs w:val="22"/>
          <w:lang w:val="el-GR" w:eastAsia="el-GR"/>
        </w:rPr>
      </w:pPr>
    </w:p>
    <w:p w:rsidR="004B417C" w:rsidRPr="008D4BD0" w:rsidRDefault="004B417C" w:rsidP="00574569">
      <w:pPr>
        <w:autoSpaceDE w:val="0"/>
        <w:autoSpaceDN w:val="0"/>
        <w:adjustRightInd w:val="0"/>
        <w:jc w:val="both"/>
        <w:rPr>
          <w:szCs w:val="22"/>
          <w:lang w:val="el-GR" w:eastAsia="el-GR"/>
        </w:rPr>
      </w:pPr>
      <w:r w:rsidRPr="008D4BD0">
        <w:rPr>
          <w:szCs w:val="22"/>
          <w:lang w:val="el-GR" w:eastAsia="el-GR"/>
        </w:rPr>
        <w:t>Χωρίς να διατυπώνουμε επιφύλαξη στη γνώμη μας, εφιστούμε την προσοχή σας στις σημειώσεις 1 και 2 των συνημμένων οικονομικών καταστάσεων, όπου γίνεται αναφορά στη δυσχερή χρηματοοικονομική θέση στην οποία έχει περιέλθει η Εταιρεία και στην αδυναμία του μετόχου της να παράσχει την κεφαλαιακή στήριξη που απαιτείται για την απρόσκοπτη συνέχιση της επιχειρηματικής δραστηριότητας της Εταιρείας, με συνέπεια την αλλαγή στη βάση παρουσίασης των οικονομικών της καταστάσεων σε ρευστοποιήσιμες αξίες με ισχύ από τις 31 Δεκεμβρίου 2011.</w:t>
      </w:r>
    </w:p>
    <w:p w:rsidR="004B417C" w:rsidRPr="008D4BD0" w:rsidRDefault="004B417C" w:rsidP="00574569">
      <w:pPr>
        <w:pStyle w:val="Subject"/>
        <w:keepNext w:val="0"/>
        <w:keepLines w:val="0"/>
        <w:tabs>
          <w:tab w:val="left" w:pos="720"/>
          <w:tab w:val="left" w:pos="1440"/>
          <w:tab w:val="left" w:pos="2302"/>
        </w:tabs>
        <w:spacing w:line="240" w:lineRule="auto"/>
        <w:ind w:left="720" w:hanging="720"/>
        <w:jc w:val="both"/>
        <w:rPr>
          <w:b w:val="0"/>
          <w:color w:val="000000"/>
          <w:sz w:val="22"/>
          <w:szCs w:val="22"/>
          <w:lang w:val="el-GR"/>
        </w:rPr>
      </w:pPr>
    </w:p>
    <w:p w:rsidR="004B417C" w:rsidRPr="008D4BD0" w:rsidRDefault="004B417C" w:rsidP="00574569">
      <w:pPr>
        <w:tabs>
          <w:tab w:val="left" w:pos="0"/>
        </w:tabs>
        <w:autoSpaceDE w:val="0"/>
        <w:autoSpaceDN w:val="0"/>
        <w:adjustRightInd w:val="0"/>
        <w:rPr>
          <w:b/>
          <w:szCs w:val="22"/>
          <w:lang w:val="el-GR" w:eastAsia="el-GR"/>
        </w:rPr>
      </w:pPr>
      <w:r w:rsidRPr="008D4BD0">
        <w:rPr>
          <w:b/>
          <w:szCs w:val="22"/>
          <w:lang w:val="el-GR" w:eastAsia="el-GR"/>
        </w:rPr>
        <w:t>Αναφορά επί Άλλων Νομικών και Κανονιστικών Θεμάτων</w:t>
      </w:r>
    </w:p>
    <w:p w:rsidR="004B417C" w:rsidRPr="008D4BD0" w:rsidRDefault="004B417C" w:rsidP="00574569">
      <w:pPr>
        <w:autoSpaceDE w:val="0"/>
        <w:autoSpaceDN w:val="0"/>
        <w:adjustRightInd w:val="0"/>
        <w:rPr>
          <w:b/>
          <w:bCs/>
          <w:color w:val="000000"/>
          <w:szCs w:val="22"/>
          <w:lang w:val="el-GR" w:eastAsia="el-GR"/>
        </w:rPr>
      </w:pPr>
    </w:p>
    <w:p w:rsidR="004B417C" w:rsidRPr="008D4BD0" w:rsidRDefault="004B417C" w:rsidP="00574569">
      <w:pPr>
        <w:jc w:val="both"/>
        <w:rPr>
          <w:szCs w:val="22"/>
          <w:lang w:val="el-GR" w:eastAsia="el-GR"/>
        </w:rPr>
      </w:pPr>
      <w:r w:rsidRPr="008D4BD0">
        <w:rPr>
          <w:szCs w:val="22"/>
          <w:lang w:val="el-GR" w:eastAsia="el-GR"/>
        </w:rPr>
        <w:t>Επαληθεύσαμε τη συμφωνία και την αντιστοίχηση του περιεχομένου της Έκθεσης Διαχείρισης του Διοικητικού Συμβουλίου με τις συνημμένες οικονομικές καταστάσεις, στα πλαίσια των οριζόμενων από τα άρθρα 43</w:t>
      </w:r>
      <w:r w:rsidRPr="008D4BD0">
        <w:rPr>
          <w:szCs w:val="22"/>
          <w:vertAlign w:val="superscript"/>
          <w:lang w:val="el-GR" w:eastAsia="el-GR"/>
        </w:rPr>
        <w:t>α</w:t>
      </w:r>
      <w:r w:rsidRPr="008D4BD0">
        <w:rPr>
          <w:szCs w:val="22"/>
          <w:lang w:val="el-GR" w:eastAsia="el-GR"/>
        </w:rPr>
        <w:t xml:space="preserve"> και 37 του Κ.Ν. 2190/1920.</w:t>
      </w:r>
    </w:p>
    <w:p w:rsidR="004B417C" w:rsidRPr="00785849" w:rsidRDefault="004B417C" w:rsidP="00574569">
      <w:pPr>
        <w:jc w:val="both"/>
        <w:rPr>
          <w:lang w:val="el-GR" w:eastAsia="el-GR"/>
        </w:rPr>
      </w:pPr>
    </w:p>
    <w:p w:rsidR="004B417C" w:rsidRPr="00785849" w:rsidRDefault="004B417C" w:rsidP="00574569">
      <w:pPr>
        <w:autoSpaceDE w:val="0"/>
        <w:autoSpaceDN w:val="0"/>
        <w:adjustRightInd w:val="0"/>
        <w:rPr>
          <w:lang w:val="el-GR" w:eastAsia="el-GR"/>
        </w:rPr>
      </w:pPr>
    </w:p>
    <w:p w:rsidR="004B417C" w:rsidRPr="00785849" w:rsidRDefault="001D437A" w:rsidP="00574569">
      <w:pPr>
        <w:autoSpaceDE w:val="0"/>
        <w:autoSpaceDN w:val="0"/>
        <w:adjustRightInd w:val="0"/>
        <w:rPr>
          <w:lang w:val="el-GR" w:eastAsia="el-GR"/>
        </w:rPr>
      </w:pPr>
      <w:r>
        <w:rPr>
          <w:noProof/>
        </w:rPr>
        <w:drawing>
          <wp:anchor distT="0" distB="0" distL="114300" distR="114300" simplePos="0" relativeHeight="251660288" behindDoc="0" locked="1" layoutInCell="1" allowOverlap="1">
            <wp:simplePos x="0" y="0"/>
            <wp:positionH relativeFrom="page">
              <wp:posOffset>1524000</wp:posOffset>
            </wp:positionH>
            <wp:positionV relativeFrom="page">
              <wp:posOffset>4991100</wp:posOffset>
            </wp:positionV>
            <wp:extent cx="895350" cy="6572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srcRect/>
                    <a:stretch>
                      <a:fillRect/>
                    </a:stretch>
                  </pic:blipFill>
                  <pic:spPr bwMode="auto">
                    <a:xfrm>
                      <a:off x="0" y="0"/>
                      <a:ext cx="895350" cy="657225"/>
                    </a:xfrm>
                    <a:prstGeom prst="rect">
                      <a:avLst/>
                    </a:prstGeom>
                    <a:noFill/>
                  </pic:spPr>
                </pic:pic>
              </a:graphicData>
            </a:graphic>
          </wp:anchor>
        </w:drawing>
      </w:r>
      <w:r w:rsidR="004B417C" w:rsidRPr="00785849">
        <w:rPr>
          <w:lang w:val="el-GR" w:eastAsia="el-GR"/>
        </w:rPr>
        <w:t xml:space="preserve">Αθήνα,  26 Απριλίου 2013  </w:t>
      </w:r>
      <w:r w:rsidR="004B417C" w:rsidRPr="00785849">
        <w:rPr>
          <w:lang w:val="el-GR" w:eastAsia="el-GR"/>
        </w:rPr>
        <w:tab/>
      </w:r>
      <w:r w:rsidR="004B417C" w:rsidRPr="00785849">
        <w:rPr>
          <w:lang w:val="el-GR" w:eastAsia="el-GR"/>
        </w:rPr>
        <w:tab/>
      </w:r>
      <w:r w:rsidR="004B417C" w:rsidRPr="00785849">
        <w:rPr>
          <w:lang w:val="el-GR" w:eastAsia="el-GR"/>
        </w:rPr>
        <w:tab/>
        <w:t xml:space="preserve">                        </w:t>
      </w:r>
      <w:r w:rsidR="004B417C">
        <w:rPr>
          <w:lang w:val="el-GR" w:eastAsia="el-GR"/>
        </w:rPr>
        <w:t xml:space="preserve">   </w:t>
      </w:r>
      <w:r w:rsidR="004B417C" w:rsidRPr="00785849">
        <w:rPr>
          <w:lang w:val="el-GR" w:eastAsia="el-GR"/>
        </w:rPr>
        <w:t>Ο Ορκωτός Ελεγκτής Λογιστής</w:t>
      </w:r>
    </w:p>
    <w:p w:rsidR="004B417C" w:rsidRPr="00785849" w:rsidRDefault="004B417C" w:rsidP="00BA7282">
      <w:pPr>
        <w:autoSpaceDE w:val="0"/>
        <w:autoSpaceDN w:val="0"/>
        <w:adjustRightInd w:val="0"/>
        <w:ind w:left="4320"/>
        <w:rPr>
          <w:szCs w:val="22"/>
          <w:lang w:val="el-GR" w:eastAsia="el-GR"/>
        </w:rPr>
      </w:pPr>
    </w:p>
    <w:p w:rsidR="004B417C" w:rsidRPr="00785849" w:rsidRDefault="004B417C" w:rsidP="00BA7282">
      <w:pPr>
        <w:autoSpaceDE w:val="0"/>
        <w:autoSpaceDN w:val="0"/>
        <w:adjustRightInd w:val="0"/>
        <w:ind w:left="4320"/>
        <w:rPr>
          <w:szCs w:val="22"/>
          <w:lang w:val="el-GR" w:eastAsia="el-GR"/>
        </w:rPr>
      </w:pPr>
      <w:r w:rsidRPr="00785849">
        <w:rPr>
          <w:szCs w:val="22"/>
          <w:lang w:val="el-GR" w:eastAsia="el-GR"/>
        </w:rPr>
        <w:t xml:space="preserve">            </w:t>
      </w:r>
    </w:p>
    <w:p w:rsidR="004B417C" w:rsidRPr="00785849" w:rsidRDefault="004B417C" w:rsidP="00BA7282">
      <w:pPr>
        <w:rPr>
          <w:szCs w:val="22"/>
          <w:lang w:val="el-GR"/>
        </w:rPr>
      </w:pPr>
    </w:p>
    <w:p w:rsidR="004B417C" w:rsidRPr="00785849" w:rsidRDefault="004B417C" w:rsidP="00BA7282">
      <w:pPr>
        <w:rPr>
          <w:szCs w:val="22"/>
          <w:lang w:val="el-GR"/>
        </w:rPr>
      </w:pPr>
    </w:p>
    <w:p w:rsidR="004B417C" w:rsidRPr="00785849" w:rsidRDefault="004B417C" w:rsidP="00BA7282">
      <w:pPr>
        <w:rPr>
          <w:szCs w:val="22"/>
          <w:lang w:val="el-GR"/>
        </w:rPr>
      </w:pPr>
      <w:r w:rsidRPr="00785849">
        <w:rPr>
          <w:szCs w:val="22"/>
          <w:lang w:val="el-GR"/>
        </w:rPr>
        <w:t>ΠραϊσγουωτερχαουςΚούπερς</w:t>
      </w:r>
    </w:p>
    <w:p w:rsidR="004B417C" w:rsidRPr="00785849" w:rsidRDefault="004B417C" w:rsidP="00BA7282">
      <w:pPr>
        <w:autoSpaceDE w:val="0"/>
        <w:autoSpaceDN w:val="0"/>
        <w:adjustRightInd w:val="0"/>
        <w:rPr>
          <w:szCs w:val="22"/>
          <w:lang w:val="el-GR" w:eastAsia="el-GR"/>
        </w:rPr>
      </w:pPr>
      <w:r w:rsidRPr="00785849">
        <w:rPr>
          <w:szCs w:val="22"/>
          <w:lang w:val="el-GR"/>
        </w:rPr>
        <w:t>Ανώνυμη Ελεγκτική Εταιρεία</w:t>
      </w:r>
      <w:r w:rsidRPr="00785849">
        <w:rPr>
          <w:szCs w:val="22"/>
          <w:lang w:val="el-GR" w:eastAsia="el-GR"/>
        </w:rPr>
        <w:t xml:space="preserve"> </w:t>
      </w:r>
      <w:r w:rsidRPr="00785849">
        <w:rPr>
          <w:szCs w:val="22"/>
          <w:lang w:val="el-GR" w:eastAsia="el-GR"/>
        </w:rPr>
        <w:tab/>
      </w:r>
      <w:r w:rsidRPr="00785849">
        <w:rPr>
          <w:szCs w:val="22"/>
          <w:lang w:val="el-GR" w:eastAsia="el-GR"/>
        </w:rPr>
        <w:tab/>
      </w:r>
      <w:r w:rsidRPr="00785849">
        <w:rPr>
          <w:szCs w:val="22"/>
          <w:lang w:val="el-GR" w:eastAsia="el-GR"/>
        </w:rPr>
        <w:tab/>
      </w:r>
      <w:r w:rsidRPr="00785849">
        <w:rPr>
          <w:szCs w:val="22"/>
          <w:lang w:val="el-GR" w:eastAsia="el-GR"/>
        </w:rPr>
        <w:tab/>
      </w:r>
      <w:r w:rsidRPr="00785849">
        <w:rPr>
          <w:szCs w:val="22"/>
          <w:lang w:val="el-GR" w:eastAsia="el-GR"/>
        </w:rPr>
        <w:tab/>
      </w:r>
    </w:p>
    <w:p w:rsidR="004B417C" w:rsidRPr="00785849" w:rsidRDefault="004B417C" w:rsidP="00BA7282">
      <w:pPr>
        <w:autoSpaceDE w:val="0"/>
        <w:autoSpaceDN w:val="0"/>
        <w:adjustRightInd w:val="0"/>
        <w:rPr>
          <w:szCs w:val="22"/>
          <w:lang w:val="el-GR" w:eastAsia="el-GR"/>
        </w:rPr>
      </w:pPr>
      <w:r w:rsidRPr="00785849">
        <w:rPr>
          <w:szCs w:val="22"/>
          <w:lang w:val="el-GR" w:eastAsia="el-GR"/>
        </w:rPr>
        <w:t>Λ. Κηφισίας 268, Χαλάνδρι</w:t>
      </w:r>
      <w:r w:rsidRPr="00785849">
        <w:rPr>
          <w:szCs w:val="22"/>
          <w:lang w:val="el-GR" w:eastAsia="el-GR"/>
        </w:rPr>
        <w:tab/>
      </w:r>
      <w:r w:rsidRPr="00785849">
        <w:rPr>
          <w:szCs w:val="22"/>
          <w:lang w:val="el-GR" w:eastAsia="el-GR"/>
        </w:rPr>
        <w:tab/>
      </w:r>
      <w:r w:rsidRPr="00785849">
        <w:rPr>
          <w:szCs w:val="22"/>
          <w:lang w:val="el-GR" w:eastAsia="el-GR"/>
        </w:rPr>
        <w:tab/>
      </w:r>
      <w:r w:rsidRPr="00785849">
        <w:rPr>
          <w:szCs w:val="22"/>
          <w:lang w:val="el-GR" w:eastAsia="el-GR"/>
        </w:rPr>
        <w:tab/>
        <w:t xml:space="preserve"> </w:t>
      </w:r>
      <w:r w:rsidRPr="00785849">
        <w:rPr>
          <w:szCs w:val="22"/>
          <w:lang w:val="el-GR" w:eastAsia="el-GR"/>
        </w:rPr>
        <w:tab/>
      </w:r>
      <w:r w:rsidRPr="00785849">
        <w:rPr>
          <w:szCs w:val="22"/>
          <w:lang w:val="el-GR" w:eastAsia="el-GR"/>
        </w:rPr>
        <w:tab/>
        <w:t xml:space="preserve">     Μάριος Ψάλτης</w:t>
      </w:r>
    </w:p>
    <w:p w:rsidR="004B417C" w:rsidRPr="00785849" w:rsidRDefault="004B417C" w:rsidP="00BA7282">
      <w:pPr>
        <w:rPr>
          <w:szCs w:val="22"/>
          <w:lang w:val="el-GR"/>
        </w:rPr>
      </w:pPr>
      <w:r w:rsidRPr="00785849">
        <w:rPr>
          <w:szCs w:val="22"/>
          <w:lang w:val="el-GR"/>
        </w:rPr>
        <w:t>ΑΜ ΣΟΕΛ 113</w:t>
      </w:r>
      <w:r w:rsidRPr="00785849">
        <w:rPr>
          <w:szCs w:val="22"/>
          <w:lang w:val="el-GR"/>
        </w:rPr>
        <w:tab/>
      </w:r>
      <w:r w:rsidRPr="00785849">
        <w:rPr>
          <w:szCs w:val="22"/>
          <w:lang w:val="el-GR"/>
        </w:rPr>
        <w:tab/>
      </w:r>
      <w:r w:rsidRPr="00785849">
        <w:rPr>
          <w:szCs w:val="22"/>
          <w:lang w:val="el-GR"/>
        </w:rPr>
        <w:tab/>
      </w:r>
      <w:r w:rsidRPr="00785849">
        <w:rPr>
          <w:szCs w:val="22"/>
          <w:lang w:val="el-GR"/>
        </w:rPr>
        <w:tab/>
      </w:r>
      <w:r w:rsidRPr="00785849">
        <w:rPr>
          <w:szCs w:val="22"/>
          <w:lang w:val="el-GR"/>
        </w:rPr>
        <w:tab/>
      </w:r>
      <w:r w:rsidRPr="00785849">
        <w:rPr>
          <w:szCs w:val="22"/>
          <w:lang w:val="el-GR"/>
        </w:rPr>
        <w:tab/>
      </w:r>
      <w:r w:rsidRPr="00785849">
        <w:rPr>
          <w:szCs w:val="22"/>
          <w:lang w:val="el-GR"/>
        </w:rPr>
        <w:tab/>
      </w:r>
      <w:r w:rsidRPr="00785849">
        <w:rPr>
          <w:szCs w:val="22"/>
          <w:lang w:val="el-GR"/>
        </w:rPr>
        <w:tab/>
        <w:t xml:space="preserve">     </w:t>
      </w:r>
      <w:r w:rsidRPr="00785849">
        <w:rPr>
          <w:szCs w:val="22"/>
          <w:lang w:val="el-GR" w:eastAsia="el-GR"/>
        </w:rPr>
        <w:t xml:space="preserve">Αρ Μ ΣΟΕΛ 38081 </w:t>
      </w:r>
    </w:p>
    <w:p w:rsidR="004B417C" w:rsidRPr="00BA7282" w:rsidRDefault="004B417C" w:rsidP="0017021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360" w:lineRule="auto"/>
        <w:jc w:val="center"/>
        <w:rPr>
          <w:b/>
          <w:sz w:val="20"/>
          <w:lang w:val="el-GR"/>
        </w:rPr>
      </w:pPr>
    </w:p>
    <w:p w:rsidR="004B417C" w:rsidRPr="004E2F46" w:rsidRDefault="004B417C" w:rsidP="00112F79">
      <w:pPr>
        <w:pStyle w:val="BlockText"/>
        <w:ind w:left="0"/>
        <w:rPr>
          <w:b/>
          <w:sz w:val="22"/>
          <w:szCs w:val="22"/>
        </w:rPr>
        <w:sectPr w:rsidR="004B417C" w:rsidRPr="004E2F46" w:rsidSect="003C7405">
          <w:headerReference w:type="default" r:id="rId19"/>
          <w:footerReference w:type="default" r:id="rId20"/>
          <w:headerReference w:type="first" r:id="rId21"/>
          <w:footerReference w:type="first" r:id="rId22"/>
          <w:pgSz w:w="11906" w:h="16838" w:code="9"/>
          <w:pgMar w:top="1134" w:right="1985" w:bottom="902" w:left="1985" w:header="482" w:footer="380" w:gutter="0"/>
          <w:pgNumType w:start="1"/>
          <w:cols w:space="720"/>
        </w:sectPr>
      </w:pPr>
    </w:p>
    <w:p w:rsidR="004B417C" w:rsidRDefault="004B417C" w:rsidP="0027152B">
      <w:pPr>
        <w:pStyle w:val="Heading1"/>
        <w:rPr>
          <w:lang w:val="el-GR"/>
        </w:rPr>
      </w:pPr>
      <w:bookmarkStart w:id="2" w:name="EnvelopeAddress"/>
      <w:bookmarkEnd w:id="2"/>
      <w:r>
        <w:rPr>
          <w:lang w:val="el-GR"/>
        </w:rPr>
        <w:lastRenderedPageBreak/>
        <w:t>Κατάσταση Συνολικών Εσόδων</w:t>
      </w:r>
    </w:p>
    <w:p w:rsidR="004B417C" w:rsidRPr="007967BE" w:rsidRDefault="004B417C" w:rsidP="0027152B">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b/>
          <w:lang w:val="el-GR"/>
        </w:rPr>
      </w:pPr>
      <w:r w:rsidRPr="007967BE">
        <w:rPr>
          <w:b/>
          <w:lang w:val="el-GR"/>
        </w:rPr>
        <w:t xml:space="preserve">Για τη χρήση που έληξε 31 Δεκεμβρίου </w:t>
      </w:r>
    </w:p>
    <w:p w:rsidR="004B417C" w:rsidRDefault="004B417C" w:rsidP="0027152B">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highlight w:val="yellow"/>
          <w:lang w:val="el-GR"/>
        </w:rPr>
      </w:pPr>
    </w:p>
    <w:tbl>
      <w:tblPr>
        <w:tblW w:w="8856" w:type="dxa"/>
        <w:tblInd w:w="108" w:type="dxa"/>
        <w:tblLook w:val="0000"/>
      </w:tblPr>
      <w:tblGrid>
        <w:gridCol w:w="3509"/>
        <w:gridCol w:w="1782"/>
        <w:gridCol w:w="1560"/>
        <w:gridCol w:w="405"/>
        <w:gridCol w:w="1600"/>
      </w:tblGrid>
      <w:tr w:rsidR="004B417C" w:rsidRPr="00574569" w:rsidTr="00503597">
        <w:trPr>
          <w:trHeight w:val="340"/>
        </w:trPr>
        <w:tc>
          <w:tcPr>
            <w:tcW w:w="3509" w:type="dxa"/>
            <w:tcBorders>
              <w:left w:val="nil"/>
              <w:bottom w:val="nil"/>
              <w:right w:val="nil"/>
            </w:tcBorders>
            <w:noWrap/>
            <w:vAlign w:val="center"/>
          </w:tcPr>
          <w:p w:rsidR="004B417C" w:rsidRDefault="004B417C" w:rsidP="007E6FD7">
            <w:pPr>
              <w:tabs>
                <w:tab w:val="clear" w:pos="454"/>
                <w:tab w:val="clear" w:pos="680"/>
                <w:tab w:val="clear" w:pos="907"/>
                <w:tab w:val="clear" w:pos="1644"/>
                <w:tab w:val="clear" w:pos="1871"/>
                <w:tab w:val="clear" w:pos="2580"/>
                <w:tab w:val="clear" w:pos="2807"/>
                <w:tab w:val="clear" w:pos="3515"/>
                <w:tab w:val="clear" w:pos="4451"/>
                <w:tab w:val="clear" w:pos="4678"/>
                <w:tab w:val="clear" w:pos="5387"/>
                <w:tab w:val="clear" w:pos="5613"/>
                <w:tab w:val="clear" w:pos="6322"/>
                <w:tab w:val="clear" w:pos="6549"/>
              </w:tabs>
              <w:rPr>
                <w:i/>
                <w:sz w:val="18"/>
                <w:szCs w:val="18"/>
                <w:lang w:val="el-GR"/>
              </w:rPr>
            </w:pPr>
            <w:r>
              <w:rPr>
                <w:i/>
                <w:sz w:val="18"/>
                <w:szCs w:val="18"/>
                <w:lang w:val="el-GR"/>
              </w:rPr>
              <w:t>Ποσά σε χιλιάδες Ευρώ</w:t>
            </w:r>
          </w:p>
        </w:tc>
        <w:tc>
          <w:tcPr>
            <w:tcW w:w="1782" w:type="dxa"/>
            <w:tcBorders>
              <w:left w:val="nil"/>
              <w:bottom w:val="nil"/>
              <w:right w:val="nil"/>
            </w:tcBorders>
            <w:noWrap/>
            <w:vAlign w:val="center"/>
          </w:tcPr>
          <w:p w:rsidR="004B417C" w:rsidRDefault="004B417C" w:rsidP="007E6FD7">
            <w:pPr>
              <w:rPr>
                <w:szCs w:val="22"/>
                <w:lang w:val="el-GR"/>
              </w:rPr>
            </w:pPr>
          </w:p>
        </w:tc>
        <w:tc>
          <w:tcPr>
            <w:tcW w:w="1560" w:type="dxa"/>
            <w:tcBorders>
              <w:left w:val="nil"/>
              <w:right w:val="nil"/>
            </w:tcBorders>
            <w:vAlign w:val="center"/>
          </w:tcPr>
          <w:p w:rsidR="004B417C"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s>
              <w:jc w:val="center"/>
              <w:rPr>
                <w:b/>
                <w:szCs w:val="22"/>
                <w:lang w:val="el-GR"/>
              </w:rPr>
            </w:pPr>
          </w:p>
        </w:tc>
        <w:tc>
          <w:tcPr>
            <w:tcW w:w="405" w:type="dxa"/>
            <w:tcBorders>
              <w:left w:val="nil"/>
              <w:right w:val="nil"/>
            </w:tcBorders>
          </w:tcPr>
          <w:p w:rsidR="004B417C" w:rsidRDefault="004B417C" w:rsidP="007E6FD7">
            <w:pPr>
              <w:tabs>
                <w:tab w:val="clear" w:pos="227"/>
                <w:tab w:val="clear" w:pos="454"/>
                <w:tab w:val="clear" w:pos="680"/>
                <w:tab w:val="clear" w:pos="907"/>
                <w:tab w:val="clear" w:pos="1644"/>
                <w:tab w:val="clear" w:pos="1871"/>
                <w:tab w:val="clear" w:pos="2580"/>
                <w:tab w:val="clear" w:pos="2807"/>
                <w:tab w:val="clear" w:pos="3515"/>
              </w:tabs>
              <w:jc w:val="center"/>
              <w:rPr>
                <w:sz w:val="20"/>
                <w:lang w:val="el-GR"/>
              </w:rPr>
            </w:pPr>
          </w:p>
        </w:tc>
        <w:tc>
          <w:tcPr>
            <w:tcW w:w="1600" w:type="dxa"/>
            <w:tcBorders>
              <w:left w:val="nil"/>
              <w:right w:val="nil"/>
            </w:tcBorders>
            <w:noWrap/>
            <w:vAlign w:val="center"/>
          </w:tcPr>
          <w:p w:rsidR="004B417C" w:rsidRDefault="004B417C" w:rsidP="007E6FD7">
            <w:pPr>
              <w:tabs>
                <w:tab w:val="clear" w:pos="227"/>
                <w:tab w:val="clear" w:pos="454"/>
                <w:tab w:val="clear" w:pos="680"/>
                <w:tab w:val="clear" w:pos="907"/>
                <w:tab w:val="clear" w:pos="1644"/>
                <w:tab w:val="clear" w:pos="1871"/>
                <w:tab w:val="clear" w:pos="2580"/>
                <w:tab w:val="clear" w:pos="2807"/>
                <w:tab w:val="clear" w:pos="3515"/>
              </w:tabs>
              <w:jc w:val="center"/>
              <w:rPr>
                <w:b/>
                <w:szCs w:val="22"/>
                <w:lang w:val="el-GR"/>
              </w:rPr>
            </w:pPr>
          </w:p>
        </w:tc>
      </w:tr>
      <w:tr w:rsidR="004B417C" w:rsidRPr="00A57F38" w:rsidTr="00503597">
        <w:trPr>
          <w:trHeight w:val="340"/>
        </w:trPr>
        <w:tc>
          <w:tcPr>
            <w:tcW w:w="3509" w:type="dxa"/>
            <w:tcBorders>
              <w:left w:val="nil"/>
              <w:bottom w:val="nil"/>
              <w:right w:val="nil"/>
            </w:tcBorders>
            <w:noWrap/>
            <w:vAlign w:val="center"/>
          </w:tcPr>
          <w:p w:rsidR="004B417C" w:rsidRDefault="004B417C" w:rsidP="007E6FD7">
            <w:pPr>
              <w:tabs>
                <w:tab w:val="clear" w:pos="454"/>
                <w:tab w:val="clear" w:pos="680"/>
                <w:tab w:val="clear" w:pos="907"/>
                <w:tab w:val="clear" w:pos="1644"/>
                <w:tab w:val="clear" w:pos="1871"/>
                <w:tab w:val="clear" w:pos="2580"/>
                <w:tab w:val="clear" w:pos="2807"/>
                <w:tab w:val="clear" w:pos="3515"/>
                <w:tab w:val="clear" w:pos="4451"/>
                <w:tab w:val="clear" w:pos="4678"/>
                <w:tab w:val="clear" w:pos="5387"/>
                <w:tab w:val="clear" w:pos="5613"/>
                <w:tab w:val="clear" w:pos="6322"/>
                <w:tab w:val="clear" w:pos="6549"/>
              </w:tabs>
              <w:rPr>
                <w:szCs w:val="22"/>
                <w:lang w:val="el-GR"/>
              </w:rPr>
            </w:pPr>
          </w:p>
        </w:tc>
        <w:tc>
          <w:tcPr>
            <w:tcW w:w="1782" w:type="dxa"/>
            <w:tcBorders>
              <w:left w:val="nil"/>
              <w:bottom w:val="nil"/>
              <w:right w:val="nil"/>
            </w:tcBorders>
            <w:noWrap/>
            <w:vAlign w:val="center"/>
          </w:tcPr>
          <w:p w:rsidR="004B417C" w:rsidRPr="007967BE" w:rsidRDefault="004B417C" w:rsidP="007E6FD7">
            <w:pPr>
              <w:tabs>
                <w:tab w:val="clear" w:pos="227"/>
                <w:tab w:val="clear" w:pos="454"/>
                <w:tab w:val="clear" w:pos="680"/>
                <w:tab w:val="clear" w:pos="907"/>
                <w:tab w:val="clear" w:pos="1644"/>
                <w:tab w:val="clear" w:pos="1871"/>
                <w:tab w:val="clear" w:pos="2580"/>
                <w:tab w:val="clear" w:pos="3515"/>
                <w:tab w:val="clear" w:pos="3742"/>
                <w:tab w:val="clear" w:pos="4451"/>
                <w:tab w:val="clear" w:pos="4678"/>
                <w:tab w:val="clear" w:pos="5387"/>
                <w:tab w:val="clear" w:pos="5613"/>
              </w:tabs>
              <w:jc w:val="center"/>
              <w:rPr>
                <w:b/>
                <w:szCs w:val="22"/>
                <w:lang w:val="el-GR"/>
              </w:rPr>
            </w:pPr>
            <w:r w:rsidRPr="007967BE">
              <w:rPr>
                <w:b/>
                <w:szCs w:val="22"/>
                <w:lang w:val="el-GR"/>
              </w:rPr>
              <w:t>Σημείωση</w:t>
            </w:r>
          </w:p>
        </w:tc>
        <w:tc>
          <w:tcPr>
            <w:tcW w:w="1560" w:type="dxa"/>
            <w:tcBorders>
              <w:left w:val="nil"/>
              <w:bottom w:val="single" w:sz="4" w:space="0" w:color="auto"/>
              <w:right w:val="nil"/>
            </w:tcBorders>
            <w:vAlign w:val="center"/>
          </w:tcPr>
          <w:p w:rsidR="004B417C" w:rsidRPr="00F97186"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s>
              <w:jc w:val="right"/>
              <w:rPr>
                <w:b/>
                <w:szCs w:val="22"/>
              </w:rPr>
            </w:pPr>
            <w:r>
              <w:rPr>
                <w:b/>
                <w:szCs w:val="22"/>
                <w:lang w:val="el-GR"/>
              </w:rPr>
              <w:t>201</w:t>
            </w:r>
            <w:r>
              <w:rPr>
                <w:b/>
                <w:szCs w:val="22"/>
              </w:rPr>
              <w:t>2</w:t>
            </w:r>
          </w:p>
        </w:tc>
        <w:tc>
          <w:tcPr>
            <w:tcW w:w="405" w:type="dxa"/>
            <w:tcBorders>
              <w:left w:val="nil"/>
              <w:right w:val="nil"/>
            </w:tcBorders>
          </w:tcPr>
          <w:p w:rsidR="004B417C" w:rsidRDefault="004B417C" w:rsidP="007E6FD7">
            <w:pPr>
              <w:tabs>
                <w:tab w:val="clear" w:pos="227"/>
                <w:tab w:val="clear" w:pos="454"/>
                <w:tab w:val="clear" w:pos="680"/>
                <w:tab w:val="clear" w:pos="907"/>
                <w:tab w:val="clear" w:pos="1644"/>
                <w:tab w:val="clear" w:pos="1871"/>
                <w:tab w:val="clear" w:pos="2580"/>
                <w:tab w:val="clear" w:pos="2807"/>
                <w:tab w:val="clear" w:pos="3515"/>
              </w:tabs>
              <w:jc w:val="right"/>
              <w:rPr>
                <w:sz w:val="20"/>
                <w:lang w:val="el-GR"/>
              </w:rPr>
            </w:pPr>
          </w:p>
        </w:tc>
        <w:tc>
          <w:tcPr>
            <w:tcW w:w="1600" w:type="dxa"/>
            <w:tcBorders>
              <w:left w:val="nil"/>
              <w:bottom w:val="single" w:sz="4" w:space="0" w:color="auto"/>
              <w:right w:val="nil"/>
            </w:tcBorders>
            <w:noWrap/>
            <w:vAlign w:val="center"/>
          </w:tcPr>
          <w:p w:rsidR="004B417C" w:rsidRPr="00C76733"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s>
              <w:jc w:val="right"/>
              <w:rPr>
                <w:b/>
                <w:szCs w:val="22"/>
              </w:rPr>
            </w:pPr>
            <w:r>
              <w:rPr>
                <w:b/>
                <w:szCs w:val="22"/>
                <w:lang w:val="el-GR"/>
              </w:rPr>
              <w:t>201</w:t>
            </w:r>
            <w:r>
              <w:rPr>
                <w:b/>
                <w:szCs w:val="22"/>
              </w:rPr>
              <w:t>1</w:t>
            </w:r>
          </w:p>
        </w:tc>
      </w:tr>
      <w:tr w:rsidR="004B417C" w:rsidRPr="00A57F38" w:rsidTr="00503597">
        <w:trPr>
          <w:trHeight w:val="340"/>
        </w:trPr>
        <w:tc>
          <w:tcPr>
            <w:tcW w:w="3509" w:type="dxa"/>
            <w:tcBorders>
              <w:top w:val="nil"/>
              <w:left w:val="nil"/>
              <w:bottom w:val="nil"/>
              <w:right w:val="nil"/>
            </w:tcBorders>
            <w:noWrap/>
            <w:vAlign w:val="center"/>
          </w:tcPr>
          <w:p w:rsidR="004B417C" w:rsidRDefault="004B417C" w:rsidP="007E6FD7">
            <w:pPr>
              <w:pStyle w:val="Heade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536"/>
                <w:tab w:val="clear" w:pos="4678"/>
                <w:tab w:val="clear" w:pos="5387"/>
                <w:tab w:val="clear" w:pos="5613"/>
                <w:tab w:val="clear" w:pos="6322"/>
                <w:tab w:val="clear" w:pos="6549"/>
                <w:tab w:val="clear" w:pos="9072"/>
              </w:tabs>
              <w:rPr>
                <w:szCs w:val="22"/>
                <w:lang w:val="el-GR"/>
              </w:rPr>
            </w:pPr>
          </w:p>
        </w:tc>
        <w:tc>
          <w:tcPr>
            <w:tcW w:w="1782" w:type="dxa"/>
            <w:tcBorders>
              <w:top w:val="nil"/>
              <w:left w:val="nil"/>
              <w:bottom w:val="nil"/>
              <w:right w:val="nil"/>
            </w:tcBorders>
            <w:noWrap/>
            <w:vAlign w:val="center"/>
          </w:tcPr>
          <w:p w:rsidR="004B417C"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szCs w:val="22"/>
                <w:lang w:val="el-GR"/>
              </w:rPr>
            </w:pPr>
          </w:p>
        </w:tc>
        <w:tc>
          <w:tcPr>
            <w:tcW w:w="1560" w:type="dxa"/>
            <w:tcBorders>
              <w:top w:val="single" w:sz="4" w:space="0" w:color="auto"/>
              <w:left w:val="nil"/>
              <w:right w:val="nil"/>
            </w:tcBorders>
            <w:vAlign w:val="center"/>
          </w:tcPr>
          <w:p w:rsidR="004B417C"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s>
              <w:jc w:val="right"/>
              <w:rPr>
                <w:szCs w:val="22"/>
                <w:lang w:val="el-GR"/>
              </w:rPr>
            </w:pPr>
          </w:p>
        </w:tc>
        <w:tc>
          <w:tcPr>
            <w:tcW w:w="405" w:type="dxa"/>
            <w:tcBorders>
              <w:left w:val="nil"/>
              <w:bottom w:val="nil"/>
              <w:right w:val="nil"/>
            </w:tcBorders>
          </w:tcPr>
          <w:p w:rsidR="004B417C" w:rsidRDefault="004B417C" w:rsidP="007E6FD7">
            <w:pPr>
              <w:jc w:val="right"/>
              <w:rPr>
                <w:sz w:val="20"/>
                <w:lang w:val="el-GR"/>
              </w:rPr>
            </w:pPr>
          </w:p>
        </w:tc>
        <w:tc>
          <w:tcPr>
            <w:tcW w:w="1600" w:type="dxa"/>
            <w:tcBorders>
              <w:top w:val="single" w:sz="4" w:space="0" w:color="auto"/>
              <w:left w:val="nil"/>
              <w:right w:val="nil"/>
            </w:tcBorders>
            <w:noWrap/>
            <w:vAlign w:val="center"/>
          </w:tcPr>
          <w:p w:rsidR="004B417C"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s>
              <w:jc w:val="right"/>
              <w:rPr>
                <w:szCs w:val="22"/>
                <w:lang w:val="el-GR"/>
              </w:rPr>
            </w:pPr>
          </w:p>
        </w:tc>
      </w:tr>
      <w:tr w:rsidR="004B417C" w:rsidTr="00503597">
        <w:trPr>
          <w:trHeight w:val="340"/>
        </w:trPr>
        <w:tc>
          <w:tcPr>
            <w:tcW w:w="3509" w:type="dxa"/>
            <w:tcBorders>
              <w:top w:val="nil"/>
              <w:left w:val="nil"/>
              <w:bottom w:val="nil"/>
              <w:right w:val="nil"/>
            </w:tcBorders>
            <w:noWrap/>
            <w:vAlign w:val="center"/>
          </w:tcPr>
          <w:p w:rsidR="004B417C"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szCs w:val="22"/>
                <w:lang w:val="el-GR"/>
              </w:rPr>
            </w:pPr>
            <w:r>
              <w:rPr>
                <w:szCs w:val="22"/>
                <w:lang w:val="el-GR"/>
              </w:rPr>
              <w:t>Έσοδα τόκων από χρηματοδοτικές μισθώσεις</w:t>
            </w:r>
          </w:p>
        </w:tc>
        <w:tc>
          <w:tcPr>
            <w:tcW w:w="1782" w:type="dxa"/>
            <w:tcBorders>
              <w:top w:val="nil"/>
              <w:left w:val="nil"/>
              <w:bottom w:val="nil"/>
              <w:right w:val="nil"/>
            </w:tcBorders>
            <w:noWrap/>
            <w:vAlign w:val="center"/>
          </w:tcPr>
          <w:p w:rsidR="004B417C"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szCs w:val="22"/>
                <w:lang w:val="el-GR"/>
              </w:rPr>
            </w:pPr>
          </w:p>
        </w:tc>
        <w:tc>
          <w:tcPr>
            <w:tcW w:w="1560" w:type="dxa"/>
            <w:tcBorders>
              <w:left w:val="nil"/>
              <w:bottom w:val="nil"/>
              <w:right w:val="nil"/>
            </w:tcBorders>
            <w:vAlign w:val="center"/>
          </w:tcPr>
          <w:p w:rsidR="004B417C" w:rsidRPr="00D87A1A"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s>
              <w:jc w:val="right"/>
              <w:rPr>
                <w:szCs w:val="22"/>
                <w:lang w:val="el-GR"/>
              </w:rPr>
            </w:pPr>
            <w:r>
              <w:rPr>
                <w:szCs w:val="22"/>
              </w:rPr>
              <w:t>7.</w:t>
            </w:r>
            <w:r>
              <w:rPr>
                <w:szCs w:val="22"/>
                <w:lang w:val="el-GR"/>
              </w:rPr>
              <w:t>887</w:t>
            </w:r>
          </w:p>
        </w:tc>
        <w:tc>
          <w:tcPr>
            <w:tcW w:w="405" w:type="dxa"/>
            <w:tcBorders>
              <w:left w:val="nil"/>
              <w:bottom w:val="nil"/>
              <w:right w:val="nil"/>
            </w:tcBorders>
          </w:tcPr>
          <w:p w:rsidR="004B417C" w:rsidRDefault="004B417C" w:rsidP="007E6FD7">
            <w:pPr>
              <w:jc w:val="right"/>
              <w:rPr>
                <w:sz w:val="20"/>
                <w:lang w:val="el-GR"/>
              </w:rPr>
            </w:pPr>
          </w:p>
        </w:tc>
        <w:tc>
          <w:tcPr>
            <w:tcW w:w="1600" w:type="dxa"/>
            <w:tcBorders>
              <w:left w:val="nil"/>
              <w:bottom w:val="nil"/>
              <w:right w:val="nil"/>
            </w:tcBorders>
            <w:noWrap/>
            <w:vAlign w:val="center"/>
          </w:tcPr>
          <w:p w:rsidR="004B417C" w:rsidRPr="00C76733"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s>
              <w:jc w:val="right"/>
              <w:rPr>
                <w:szCs w:val="22"/>
              </w:rPr>
            </w:pPr>
            <w:r>
              <w:rPr>
                <w:szCs w:val="22"/>
              </w:rPr>
              <w:t>9.229</w:t>
            </w:r>
          </w:p>
        </w:tc>
      </w:tr>
      <w:tr w:rsidR="004B417C" w:rsidTr="00503597">
        <w:trPr>
          <w:trHeight w:val="340"/>
        </w:trPr>
        <w:tc>
          <w:tcPr>
            <w:tcW w:w="3509" w:type="dxa"/>
            <w:tcBorders>
              <w:top w:val="nil"/>
              <w:left w:val="nil"/>
              <w:bottom w:val="nil"/>
              <w:right w:val="nil"/>
            </w:tcBorders>
            <w:noWrap/>
            <w:vAlign w:val="center"/>
          </w:tcPr>
          <w:p w:rsidR="004B417C"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szCs w:val="22"/>
                <w:lang w:val="el-GR"/>
              </w:rPr>
            </w:pPr>
            <w:r>
              <w:rPr>
                <w:szCs w:val="22"/>
                <w:lang w:val="el-GR"/>
              </w:rPr>
              <w:t>Λοιπά έσοδα τόκων</w:t>
            </w:r>
          </w:p>
        </w:tc>
        <w:tc>
          <w:tcPr>
            <w:tcW w:w="1782" w:type="dxa"/>
            <w:tcBorders>
              <w:top w:val="nil"/>
              <w:left w:val="nil"/>
              <w:bottom w:val="nil"/>
              <w:right w:val="nil"/>
            </w:tcBorders>
            <w:noWrap/>
            <w:vAlign w:val="center"/>
          </w:tcPr>
          <w:p w:rsidR="004B417C"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szCs w:val="22"/>
                <w:lang w:val="el-GR"/>
              </w:rPr>
            </w:pPr>
          </w:p>
        </w:tc>
        <w:tc>
          <w:tcPr>
            <w:tcW w:w="1560" w:type="dxa"/>
            <w:tcBorders>
              <w:top w:val="nil"/>
              <w:left w:val="nil"/>
              <w:right w:val="nil"/>
            </w:tcBorders>
            <w:vAlign w:val="center"/>
          </w:tcPr>
          <w:p w:rsidR="004B417C" w:rsidRPr="00D87A1A"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s>
              <w:jc w:val="right"/>
              <w:rPr>
                <w:szCs w:val="22"/>
                <w:lang w:val="el-GR"/>
              </w:rPr>
            </w:pPr>
            <w:r>
              <w:rPr>
                <w:szCs w:val="22"/>
              </w:rPr>
              <w:t>2.</w:t>
            </w:r>
            <w:r>
              <w:rPr>
                <w:szCs w:val="22"/>
                <w:lang w:val="el-GR"/>
              </w:rPr>
              <w:t>143</w:t>
            </w:r>
          </w:p>
        </w:tc>
        <w:tc>
          <w:tcPr>
            <w:tcW w:w="405" w:type="dxa"/>
            <w:tcBorders>
              <w:top w:val="nil"/>
              <w:left w:val="nil"/>
              <w:right w:val="nil"/>
            </w:tcBorders>
          </w:tcPr>
          <w:p w:rsidR="004B417C" w:rsidRDefault="004B417C" w:rsidP="007E6FD7">
            <w:pPr>
              <w:jc w:val="right"/>
              <w:rPr>
                <w:sz w:val="20"/>
                <w:lang w:val="el-GR"/>
              </w:rPr>
            </w:pPr>
          </w:p>
        </w:tc>
        <w:tc>
          <w:tcPr>
            <w:tcW w:w="1600" w:type="dxa"/>
            <w:tcBorders>
              <w:top w:val="nil"/>
              <w:left w:val="nil"/>
              <w:right w:val="nil"/>
            </w:tcBorders>
            <w:noWrap/>
            <w:vAlign w:val="center"/>
          </w:tcPr>
          <w:p w:rsidR="004B417C" w:rsidRPr="00C76733"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s>
              <w:jc w:val="right"/>
              <w:rPr>
                <w:szCs w:val="22"/>
              </w:rPr>
            </w:pPr>
            <w:r>
              <w:rPr>
                <w:szCs w:val="22"/>
              </w:rPr>
              <w:t>2.948</w:t>
            </w:r>
          </w:p>
        </w:tc>
      </w:tr>
      <w:tr w:rsidR="004B417C" w:rsidTr="00503597">
        <w:trPr>
          <w:trHeight w:val="340"/>
        </w:trPr>
        <w:tc>
          <w:tcPr>
            <w:tcW w:w="3509" w:type="dxa"/>
            <w:tcBorders>
              <w:top w:val="nil"/>
              <w:left w:val="nil"/>
              <w:bottom w:val="nil"/>
              <w:right w:val="nil"/>
            </w:tcBorders>
            <w:noWrap/>
            <w:vAlign w:val="center"/>
          </w:tcPr>
          <w:p w:rsidR="004B417C"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szCs w:val="22"/>
                <w:lang w:val="el-GR"/>
              </w:rPr>
            </w:pPr>
            <w:r>
              <w:rPr>
                <w:szCs w:val="22"/>
                <w:lang w:val="el-GR"/>
              </w:rPr>
              <w:t>Χρηματοοικονομικά έξοδα</w:t>
            </w:r>
          </w:p>
        </w:tc>
        <w:tc>
          <w:tcPr>
            <w:tcW w:w="1782" w:type="dxa"/>
            <w:tcBorders>
              <w:top w:val="nil"/>
              <w:left w:val="nil"/>
              <w:bottom w:val="nil"/>
              <w:right w:val="nil"/>
            </w:tcBorders>
            <w:noWrap/>
            <w:vAlign w:val="center"/>
          </w:tcPr>
          <w:p w:rsidR="004B417C"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szCs w:val="22"/>
                <w:lang w:val="el-GR"/>
              </w:rPr>
            </w:pPr>
          </w:p>
        </w:tc>
        <w:tc>
          <w:tcPr>
            <w:tcW w:w="1560" w:type="dxa"/>
            <w:tcBorders>
              <w:top w:val="nil"/>
              <w:left w:val="nil"/>
              <w:bottom w:val="single" w:sz="4" w:space="0" w:color="auto"/>
              <w:right w:val="nil"/>
            </w:tcBorders>
            <w:vAlign w:val="center"/>
          </w:tcPr>
          <w:p w:rsidR="004B417C" w:rsidRPr="00E15098"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rPr>
            </w:pPr>
            <w:r>
              <w:rPr>
                <w:szCs w:val="22"/>
              </w:rPr>
              <w:t>(7.920)</w:t>
            </w:r>
          </w:p>
        </w:tc>
        <w:tc>
          <w:tcPr>
            <w:tcW w:w="405" w:type="dxa"/>
            <w:tcBorders>
              <w:top w:val="nil"/>
              <w:left w:val="nil"/>
              <w:bottom w:val="nil"/>
              <w:right w:val="nil"/>
            </w:tcBorders>
          </w:tcPr>
          <w:p w:rsidR="004B417C"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600" w:type="dxa"/>
            <w:tcBorders>
              <w:top w:val="nil"/>
              <w:left w:val="nil"/>
              <w:bottom w:val="single" w:sz="4" w:space="0" w:color="auto"/>
              <w:right w:val="nil"/>
            </w:tcBorders>
            <w:noWrap/>
            <w:vAlign w:val="center"/>
          </w:tcPr>
          <w:p w:rsidR="004B417C" w:rsidRPr="00C1736D"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rPr>
            </w:pPr>
            <w:r>
              <w:rPr>
                <w:szCs w:val="22"/>
                <w:lang w:val="el-GR"/>
              </w:rPr>
              <w:t>(</w:t>
            </w:r>
            <w:r>
              <w:rPr>
                <w:szCs w:val="22"/>
              </w:rPr>
              <w:t>10.455)</w:t>
            </w:r>
          </w:p>
        </w:tc>
      </w:tr>
      <w:tr w:rsidR="004B417C" w:rsidTr="00503597">
        <w:trPr>
          <w:trHeight w:val="340"/>
        </w:trPr>
        <w:tc>
          <w:tcPr>
            <w:tcW w:w="3509" w:type="dxa"/>
            <w:tcBorders>
              <w:top w:val="nil"/>
              <w:left w:val="nil"/>
              <w:bottom w:val="nil"/>
              <w:right w:val="nil"/>
            </w:tcBorders>
            <w:noWrap/>
            <w:vAlign w:val="center"/>
          </w:tcPr>
          <w:p w:rsidR="004B417C"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ind w:firstLine="34"/>
              <w:rPr>
                <w:b/>
                <w:szCs w:val="22"/>
                <w:lang w:val="el-GR"/>
              </w:rPr>
            </w:pPr>
            <w:r>
              <w:rPr>
                <w:b/>
                <w:szCs w:val="22"/>
                <w:lang w:val="el-GR"/>
              </w:rPr>
              <w:t>Καθαρά έσοδα από τόκους</w:t>
            </w:r>
          </w:p>
        </w:tc>
        <w:tc>
          <w:tcPr>
            <w:tcW w:w="1782" w:type="dxa"/>
            <w:tcBorders>
              <w:top w:val="nil"/>
              <w:left w:val="nil"/>
              <w:bottom w:val="nil"/>
              <w:right w:val="nil"/>
            </w:tcBorders>
            <w:noWrap/>
            <w:vAlign w:val="center"/>
          </w:tcPr>
          <w:p w:rsidR="004B417C" w:rsidRPr="00DE25DC"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szCs w:val="22"/>
                <w:lang w:val="el-GR"/>
              </w:rPr>
            </w:pPr>
          </w:p>
        </w:tc>
        <w:tc>
          <w:tcPr>
            <w:tcW w:w="1560" w:type="dxa"/>
            <w:tcBorders>
              <w:top w:val="single" w:sz="4" w:space="0" w:color="auto"/>
              <w:left w:val="nil"/>
              <w:bottom w:val="nil"/>
              <w:right w:val="nil"/>
            </w:tcBorders>
            <w:vAlign w:val="center"/>
          </w:tcPr>
          <w:p w:rsidR="004B417C" w:rsidRPr="00F97186"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Cs w:val="22"/>
              </w:rPr>
            </w:pPr>
            <w:r>
              <w:rPr>
                <w:b/>
                <w:szCs w:val="22"/>
              </w:rPr>
              <w:t>2.110</w:t>
            </w:r>
          </w:p>
        </w:tc>
        <w:tc>
          <w:tcPr>
            <w:tcW w:w="405" w:type="dxa"/>
            <w:tcBorders>
              <w:top w:val="nil"/>
              <w:left w:val="nil"/>
              <w:bottom w:val="nil"/>
              <w:right w:val="nil"/>
            </w:tcBorders>
          </w:tcPr>
          <w:p w:rsidR="004B417C"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600" w:type="dxa"/>
            <w:tcBorders>
              <w:top w:val="single" w:sz="4" w:space="0" w:color="auto"/>
              <w:left w:val="nil"/>
              <w:bottom w:val="nil"/>
              <w:right w:val="nil"/>
            </w:tcBorders>
            <w:noWrap/>
            <w:vAlign w:val="center"/>
          </w:tcPr>
          <w:p w:rsidR="004B417C" w:rsidRPr="00C76733"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Cs w:val="22"/>
              </w:rPr>
            </w:pPr>
            <w:r>
              <w:rPr>
                <w:b/>
                <w:szCs w:val="22"/>
              </w:rPr>
              <w:t>1.722</w:t>
            </w:r>
          </w:p>
        </w:tc>
      </w:tr>
      <w:tr w:rsidR="004B417C" w:rsidTr="00AC74F3">
        <w:trPr>
          <w:trHeight w:hRule="exact" w:val="113"/>
        </w:trPr>
        <w:tc>
          <w:tcPr>
            <w:tcW w:w="3509" w:type="dxa"/>
            <w:tcBorders>
              <w:top w:val="nil"/>
              <w:left w:val="nil"/>
              <w:bottom w:val="nil"/>
              <w:right w:val="nil"/>
            </w:tcBorders>
            <w:noWrap/>
            <w:vAlign w:val="center"/>
          </w:tcPr>
          <w:p w:rsidR="004B417C"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szCs w:val="22"/>
              </w:rPr>
            </w:pPr>
          </w:p>
          <w:p w:rsidR="004B417C" w:rsidRPr="003C464D"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szCs w:val="22"/>
              </w:rPr>
            </w:pPr>
          </w:p>
        </w:tc>
        <w:tc>
          <w:tcPr>
            <w:tcW w:w="1782" w:type="dxa"/>
            <w:tcBorders>
              <w:top w:val="nil"/>
              <w:left w:val="nil"/>
              <w:bottom w:val="nil"/>
              <w:right w:val="nil"/>
            </w:tcBorders>
            <w:noWrap/>
            <w:vAlign w:val="center"/>
          </w:tcPr>
          <w:p w:rsidR="004B417C"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szCs w:val="22"/>
                <w:lang w:val="el-GR"/>
              </w:rPr>
            </w:pPr>
          </w:p>
        </w:tc>
        <w:tc>
          <w:tcPr>
            <w:tcW w:w="1560" w:type="dxa"/>
            <w:tcBorders>
              <w:top w:val="nil"/>
              <w:left w:val="nil"/>
              <w:right w:val="nil"/>
            </w:tcBorders>
            <w:vAlign w:val="center"/>
          </w:tcPr>
          <w:p w:rsidR="004B417C"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c>
          <w:tcPr>
            <w:tcW w:w="405" w:type="dxa"/>
            <w:tcBorders>
              <w:top w:val="nil"/>
              <w:left w:val="nil"/>
              <w:right w:val="nil"/>
            </w:tcBorders>
          </w:tcPr>
          <w:p w:rsidR="004B417C"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600" w:type="dxa"/>
            <w:tcBorders>
              <w:top w:val="nil"/>
              <w:left w:val="nil"/>
              <w:right w:val="nil"/>
            </w:tcBorders>
            <w:noWrap/>
            <w:vAlign w:val="center"/>
          </w:tcPr>
          <w:p w:rsidR="004B417C"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r>
      <w:tr w:rsidR="004B417C" w:rsidTr="00AC74F3">
        <w:trPr>
          <w:trHeight w:hRule="exact" w:val="113"/>
        </w:trPr>
        <w:tc>
          <w:tcPr>
            <w:tcW w:w="3509" w:type="dxa"/>
            <w:tcBorders>
              <w:top w:val="nil"/>
              <w:left w:val="nil"/>
              <w:bottom w:val="nil"/>
              <w:right w:val="nil"/>
            </w:tcBorders>
            <w:noWrap/>
            <w:vAlign w:val="center"/>
          </w:tcPr>
          <w:p w:rsidR="004B417C"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szCs w:val="22"/>
              </w:rPr>
            </w:pPr>
          </w:p>
        </w:tc>
        <w:tc>
          <w:tcPr>
            <w:tcW w:w="1782" w:type="dxa"/>
            <w:tcBorders>
              <w:top w:val="nil"/>
              <w:left w:val="nil"/>
              <w:bottom w:val="nil"/>
              <w:right w:val="nil"/>
            </w:tcBorders>
            <w:noWrap/>
            <w:vAlign w:val="center"/>
          </w:tcPr>
          <w:p w:rsidR="004B417C"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szCs w:val="22"/>
                <w:lang w:val="el-GR"/>
              </w:rPr>
            </w:pPr>
          </w:p>
        </w:tc>
        <w:tc>
          <w:tcPr>
            <w:tcW w:w="1560" w:type="dxa"/>
            <w:tcBorders>
              <w:top w:val="nil"/>
              <w:left w:val="nil"/>
              <w:right w:val="nil"/>
            </w:tcBorders>
            <w:vAlign w:val="center"/>
          </w:tcPr>
          <w:p w:rsidR="004B417C"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c>
          <w:tcPr>
            <w:tcW w:w="405" w:type="dxa"/>
            <w:tcBorders>
              <w:top w:val="nil"/>
              <w:left w:val="nil"/>
              <w:right w:val="nil"/>
            </w:tcBorders>
          </w:tcPr>
          <w:p w:rsidR="004B417C"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600" w:type="dxa"/>
            <w:tcBorders>
              <w:top w:val="nil"/>
              <w:left w:val="nil"/>
              <w:right w:val="nil"/>
            </w:tcBorders>
            <w:noWrap/>
            <w:vAlign w:val="center"/>
          </w:tcPr>
          <w:p w:rsidR="004B417C"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r>
      <w:tr w:rsidR="004B417C" w:rsidTr="003C464D">
        <w:trPr>
          <w:trHeight w:val="404"/>
        </w:trPr>
        <w:tc>
          <w:tcPr>
            <w:tcW w:w="3509" w:type="dxa"/>
            <w:tcBorders>
              <w:top w:val="nil"/>
              <w:left w:val="nil"/>
              <w:bottom w:val="nil"/>
              <w:right w:val="nil"/>
            </w:tcBorders>
            <w:noWrap/>
            <w:vAlign w:val="center"/>
          </w:tcPr>
          <w:p w:rsidR="004B417C" w:rsidRPr="00DB6386"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szCs w:val="22"/>
                <w:lang w:val="el-GR"/>
              </w:rPr>
            </w:pPr>
            <w:r>
              <w:rPr>
                <w:szCs w:val="22"/>
                <w:lang w:val="el-GR"/>
              </w:rPr>
              <w:t>Έσοδα από αμοιβές και προμήθειες</w:t>
            </w:r>
          </w:p>
        </w:tc>
        <w:tc>
          <w:tcPr>
            <w:tcW w:w="1782" w:type="dxa"/>
            <w:tcBorders>
              <w:top w:val="nil"/>
              <w:left w:val="nil"/>
              <w:bottom w:val="nil"/>
              <w:right w:val="nil"/>
            </w:tcBorders>
            <w:noWrap/>
            <w:vAlign w:val="center"/>
          </w:tcPr>
          <w:p w:rsidR="004B417C" w:rsidRPr="007967BE"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b/>
                <w:szCs w:val="22"/>
                <w:lang w:val="el-GR"/>
              </w:rPr>
            </w:pPr>
          </w:p>
        </w:tc>
        <w:tc>
          <w:tcPr>
            <w:tcW w:w="1560" w:type="dxa"/>
            <w:tcBorders>
              <w:top w:val="nil"/>
              <w:left w:val="nil"/>
              <w:right w:val="nil"/>
            </w:tcBorders>
            <w:vAlign w:val="center"/>
          </w:tcPr>
          <w:p w:rsidR="004B417C" w:rsidRPr="00503597"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rPr>
            </w:pPr>
            <w:r w:rsidRPr="00503597">
              <w:rPr>
                <w:szCs w:val="22"/>
              </w:rPr>
              <w:t>2.324</w:t>
            </w:r>
          </w:p>
        </w:tc>
        <w:tc>
          <w:tcPr>
            <w:tcW w:w="405" w:type="dxa"/>
            <w:tcBorders>
              <w:top w:val="nil"/>
              <w:left w:val="nil"/>
              <w:right w:val="nil"/>
            </w:tcBorders>
          </w:tcPr>
          <w:p w:rsidR="004B417C" w:rsidRPr="00503597"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600" w:type="dxa"/>
            <w:tcBorders>
              <w:top w:val="nil"/>
              <w:left w:val="nil"/>
              <w:right w:val="nil"/>
            </w:tcBorders>
            <w:noWrap/>
            <w:vAlign w:val="center"/>
          </w:tcPr>
          <w:p w:rsidR="004B417C" w:rsidRPr="00503597"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rPr>
            </w:pPr>
            <w:r w:rsidRPr="00503597">
              <w:rPr>
                <w:szCs w:val="22"/>
              </w:rPr>
              <w:t>3.609</w:t>
            </w:r>
          </w:p>
        </w:tc>
      </w:tr>
      <w:tr w:rsidR="004B417C" w:rsidTr="00AC74F3">
        <w:trPr>
          <w:trHeight w:val="340"/>
        </w:trPr>
        <w:tc>
          <w:tcPr>
            <w:tcW w:w="3509" w:type="dxa"/>
            <w:tcBorders>
              <w:top w:val="nil"/>
              <w:left w:val="nil"/>
              <w:bottom w:val="nil"/>
              <w:right w:val="nil"/>
            </w:tcBorders>
            <w:noWrap/>
            <w:vAlign w:val="center"/>
          </w:tcPr>
          <w:p w:rsidR="004B417C"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szCs w:val="22"/>
                <w:lang w:val="el-GR"/>
              </w:rPr>
            </w:pPr>
            <w:r>
              <w:rPr>
                <w:szCs w:val="22"/>
                <w:lang w:val="el-GR"/>
              </w:rPr>
              <w:t>Χρηματοοικονομικά αποτελέσματα</w:t>
            </w:r>
          </w:p>
        </w:tc>
        <w:tc>
          <w:tcPr>
            <w:tcW w:w="1782" w:type="dxa"/>
            <w:tcBorders>
              <w:top w:val="nil"/>
              <w:left w:val="nil"/>
              <w:bottom w:val="nil"/>
              <w:right w:val="nil"/>
            </w:tcBorders>
            <w:noWrap/>
            <w:vAlign w:val="center"/>
          </w:tcPr>
          <w:p w:rsidR="004B417C" w:rsidRPr="007967BE" w:rsidRDefault="004B417C" w:rsidP="003C464D">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rPr>
                <w:b/>
                <w:szCs w:val="22"/>
                <w:lang w:val="el-GR"/>
              </w:rPr>
            </w:pPr>
            <w:r>
              <w:rPr>
                <w:b/>
                <w:szCs w:val="22"/>
              </w:rPr>
              <w:t xml:space="preserve">             </w:t>
            </w:r>
            <w:r>
              <w:rPr>
                <w:b/>
                <w:szCs w:val="22"/>
                <w:lang w:val="el-GR"/>
              </w:rPr>
              <w:t>4</w:t>
            </w:r>
          </w:p>
        </w:tc>
        <w:tc>
          <w:tcPr>
            <w:tcW w:w="1560" w:type="dxa"/>
            <w:tcBorders>
              <w:top w:val="nil"/>
              <w:left w:val="nil"/>
              <w:right w:val="nil"/>
            </w:tcBorders>
            <w:vAlign w:val="center"/>
          </w:tcPr>
          <w:p w:rsidR="004B417C" w:rsidRPr="00152B38" w:rsidRDefault="004B417C" w:rsidP="003C464D">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rPr>
                <w:szCs w:val="22"/>
              </w:rPr>
            </w:pPr>
            <w:r>
              <w:rPr>
                <w:szCs w:val="22"/>
              </w:rPr>
              <w:t xml:space="preserve">                  601</w:t>
            </w:r>
          </w:p>
        </w:tc>
        <w:tc>
          <w:tcPr>
            <w:tcW w:w="405" w:type="dxa"/>
            <w:tcBorders>
              <w:left w:val="nil"/>
              <w:right w:val="nil"/>
            </w:tcBorders>
          </w:tcPr>
          <w:p w:rsidR="004B417C"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600" w:type="dxa"/>
            <w:tcBorders>
              <w:top w:val="nil"/>
              <w:left w:val="nil"/>
              <w:right w:val="nil"/>
            </w:tcBorders>
            <w:noWrap/>
            <w:vAlign w:val="center"/>
          </w:tcPr>
          <w:p w:rsidR="004B417C" w:rsidRPr="00C1736D" w:rsidRDefault="004B417C" w:rsidP="003C464D">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rPr>
                <w:szCs w:val="22"/>
              </w:rPr>
            </w:pPr>
            <w:r>
              <w:rPr>
                <w:szCs w:val="22"/>
              </w:rPr>
              <w:t xml:space="preserve">                   156</w:t>
            </w:r>
          </w:p>
        </w:tc>
      </w:tr>
      <w:tr w:rsidR="004B417C" w:rsidTr="00503597">
        <w:trPr>
          <w:trHeight w:val="340"/>
        </w:trPr>
        <w:tc>
          <w:tcPr>
            <w:tcW w:w="3509" w:type="dxa"/>
            <w:tcBorders>
              <w:top w:val="nil"/>
              <w:left w:val="nil"/>
              <w:bottom w:val="nil"/>
              <w:right w:val="nil"/>
            </w:tcBorders>
            <w:noWrap/>
            <w:vAlign w:val="center"/>
          </w:tcPr>
          <w:p w:rsidR="004B417C"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szCs w:val="22"/>
                <w:lang w:val="el-GR"/>
              </w:rPr>
            </w:pPr>
            <w:r>
              <w:rPr>
                <w:szCs w:val="22"/>
                <w:lang w:val="el-GR"/>
              </w:rPr>
              <w:t>Λοιπά έσοδα</w:t>
            </w:r>
          </w:p>
        </w:tc>
        <w:tc>
          <w:tcPr>
            <w:tcW w:w="1782" w:type="dxa"/>
            <w:tcBorders>
              <w:top w:val="nil"/>
              <w:left w:val="nil"/>
              <w:bottom w:val="nil"/>
              <w:right w:val="nil"/>
            </w:tcBorders>
            <w:noWrap/>
            <w:vAlign w:val="center"/>
          </w:tcPr>
          <w:p w:rsidR="004B417C" w:rsidRPr="007967BE" w:rsidRDefault="004B417C" w:rsidP="003C464D">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rPr>
                <w:b/>
                <w:bCs/>
                <w:szCs w:val="22"/>
                <w:lang w:val="el-GR"/>
              </w:rPr>
            </w:pPr>
            <w:r>
              <w:rPr>
                <w:b/>
                <w:bCs/>
                <w:szCs w:val="22"/>
              </w:rPr>
              <w:t xml:space="preserve">             </w:t>
            </w:r>
            <w:r>
              <w:rPr>
                <w:b/>
                <w:bCs/>
                <w:szCs w:val="22"/>
                <w:lang w:val="el-GR"/>
              </w:rPr>
              <w:t>5</w:t>
            </w:r>
          </w:p>
        </w:tc>
        <w:tc>
          <w:tcPr>
            <w:tcW w:w="1560" w:type="dxa"/>
            <w:tcBorders>
              <w:top w:val="nil"/>
              <w:left w:val="nil"/>
              <w:right w:val="nil"/>
            </w:tcBorders>
            <w:vAlign w:val="center"/>
          </w:tcPr>
          <w:p w:rsidR="004B417C" w:rsidRPr="00152B38"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highlight w:val="yellow"/>
              </w:rPr>
            </w:pPr>
            <w:r>
              <w:rPr>
                <w:szCs w:val="22"/>
              </w:rPr>
              <w:t>686</w:t>
            </w:r>
          </w:p>
        </w:tc>
        <w:tc>
          <w:tcPr>
            <w:tcW w:w="405" w:type="dxa"/>
            <w:tcBorders>
              <w:top w:val="nil"/>
              <w:left w:val="nil"/>
              <w:right w:val="nil"/>
            </w:tcBorders>
          </w:tcPr>
          <w:p w:rsidR="004B417C" w:rsidRPr="007967BE"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highlight w:val="yellow"/>
                <w:lang w:val="el-GR"/>
              </w:rPr>
            </w:pPr>
          </w:p>
        </w:tc>
        <w:tc>
          <w:tcPr>
            <w:tcW w:w="1600" w:type="dxa"/>
            <w:tcBorders>
              <w:top w:val="nil"/>
              <w:left w:val="nil"/>
              <w:right w:val="nil"/>
            </w:tcBorders>
            <w:noWrap/>
            <w:vAlign w:val="center"/>
          </w:tcPr>
          <w:p w:rsidR="004B417C" w:rsidRPr="00C76733"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highlight w:val="yellow"/>
              </w:rPr>
            </w:pPr>
            <w:r>
              <w:rPr>
                <w:szCs w:val="22"/>
              </w:rPr>
              <w:t>418</w:t>
            </w:r>
          </w:p>
        </w:tc>
      </w:tr>
      <w:tr w:rsidR="004B417C" w:rsidTr="00503597">
        <w:trPr>
          <w:trHeight w:val="340"/>
        </w:trPr>
        <w:tc>
          <w:tcPr>
            <w:tcW w:w="3509" w:type="dxa"/>
            <w:tcBorders>
              <w:top w:val="nil"/>
              <w:left w:val="nil"/>
              <w:bottom w:val="nil"/>
              <w:right w:val="nil"/>
            </w:tcBorders>
            <w:noWrap/>
            <w:vAlign w:val="center"/>
          </w:tcPr>
          <w:p w:rsidR="004B417C"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szCs w:val="22"/>
                <w:lang w:val="el-GR"/>
              </w:rPr>
            </w:pPr>
            <w:r>
              <w:rPr>
                <w:b/>
                <w:szCs w:val="22"/>
                <w:lang w:val="el-GR"/>
              </w:rPr>
              <w:t xml:space="preserve">Σύνολο εσόδων </w:t>
            </w:r>
          </w:p>
        </w:tc>
        <w:tc>
          <w:tcPr>
            <w:tcW w:w="1782" w:type="dxa"/>
            <w:tcBorders>
              <w:top w:val="nil"/>
              <w:left w:val="nil"/>
              <w:bottom w:val="nil"/>
              <w:right w:val="nil"/>
            </w:tcBorders>
            <w:noWrap/>
            <w:vAlign w:val="center"/>
          </w:tcPr>
          <w:p w:rsidR="004B417C"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szCs w:val="22"/>
                <w:lang w:val="el-GR"/>
              </w:rPr>
            </w:pPr>
          </w:p>
        </w:tc>
        <w:tc>
          <w:tcPr>
            <w:tcW w:w="1560" w:type="dxa"/>
            <w:tcBorders>
              <w:top w:val="single" w:sz="4" w:space="0" w:color="auto"/>
              <w:left w:val="nil"/>
              <w:bottom w:val="single" w:sz="4" w:space="0" w:color="auto"/>
              <w:right w:val="nil"/>
            </w:tcBorders>
            <w:vAlign w:val="center"/>
          </w:tcPr>
          <w:p w:rsidR="004B417C" w:rsidRPr="00152B38"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Cs w:val="22"/>
              </w:rPr>
            </w:pPr>
            <w:r>
              <w:rPr>
                <w:b/>
                <w:szCs w:val="22"/>
              </w:rPr>
              <w:t>5.721</w:t>
            </w:r>
          </w:p>
        </w:tc>
        <w:tc>
          <w:tcPr>
            <w:tcW w:w="405" w:type="dxa"/>
            <w:tcBorders>
              <w:left w:val="nil"/>
              <w:bottom w:val="nil"/>
              <w:right w:val="nil"/>
            </w:tcBorders>
          </w:tcPr>
          <w:p w:rsidR="004B417C"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600" w:type="dxa"/>
            <w:tcBorders>
              <w:top w:val="single" w:sz="4" w:space="0" w:color="auto"/>
              <w:left w:val="nil"/>
              <w:bottom w:val="single" w:sz="4" w:space="0" w:color="auto"/>
              <w:right w:val="nil"/>
            </w:tcBorders>
            <w:noWrap/>
            <w:vAlign w:val="center"/>
          </w:tcPr>
          <w:p w:rsidR="004B417C" w:rsidRPr="00C76733"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Cs w:val="22"/>
              </w:rPr>
            </w:pPr>
            <w:r>
              <w:rPr>
                <w:b/>
                <w:szCs w:val="22"/>
              </w:rPr>
              <w:t>5.905</w:t>
            </w:r>
          </w:p>
        </w:tc>
      </w:tr>
      <w:tr w:rsidR="004B417C" w:rsidTr="00503597">
        <w:trPr>
          <w:trHeight w:hRule="exact" w:val="113"/>
        </w:trPr>
        <w:tc>
          <w:tcPr>
            <w:tcW w:w="3509" w:type="dxa"/>
            <w:tcBorders>
              <w:top w:val="nil"/>
              <w:left w:val="nil"/>
              <w:bottom w:val="nil"/>
              <w:right w:val="nil"/>
            </w:tcBorders>
            <w:noWrap/>
            <w:vAlign w:val="center"/>
          </w:tcPr>
          <w:p w:rsidR="004B417C"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szCs w:val="22"/>
                <w:lang w:val="el-GR"/>
              </w:rPr>
            </w:pPr>
          </w:p>
        </w:tc>
        <w:tc>
          <w:tcPr>
            <w:tcW w:w="1782" w:type="dxa"/>
            <w:tcBorders>
              <w:top w:val="nil"/>
              <w:left w:val="nil"/>
              <w:bottom w:val="nil"/>
              <w:right w:val="nil"/>
            </w:tcBorders>
            <w:noWrap/>
            <w:vAlign w:val="center"/>
          </w:tcPr>
          <w:p w:rsidR="004B417C"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szCs w:val="22"/>
                <w:lang w:val="el-GR"/>
              </w:rPr>
            </w:pPr>
          </w:p>
        </w:tc>
        <w:tc>
          <w:tcPr>
            <w:tcW w:w="1560" w:type="dxa"/>
            <w:tcBorders>
              <w:top w:val="single" w:sz="4" w:space="0" w:color="auto"/>
              <w:left w:val="nil"/>
              <w:bottom w:val="nil"/>
              <w:right w:val="nil"/>
            </w:tcBorders>
            <w:vAlign w:val="center"/>
          </w:tcPr>
          <w:p w:rsidR="004B417C"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c>
          <w:tcPr>
            <w:tcW w:w="405" w:type="dxa"/>
            <w:tcBorders>
              <w:top w:val="nil"/>
              <w:left w:val="nil"/>
              <w:bottom w:val="nil"/>
              <w:right w:val="nil"/>
            </w:tcBorders>
          </w:tcPr>
          <w:p w:rsidR="004B417C"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600" w:type="dxa"/>
            <w:tcBorders>
              <w:top w:val="single" w:sz="4" w:space="0" w:color="auto"/>
              <w:left w:val="nil"/>
              <w:bottom w:val="nil"/>
              <w:right w:val="nil"/>
            </w:tcBorders>
            <w:noWrap/>
            <w:vAlign w:val="center"/>
          </w:tcPr>
          <w:p w:rsidR="004B417C"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p w:rsidR="004B417C"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p w:rsidR="004B417C"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r>
      <w:tr w:rsidR="004B417C" w:rsidTr="003C464D">
        <w:trPr>
          <w:trHeight w:val="412"/>
        </w:trPr>
        <w:tc>
          <w:tcPr>
            <w:tcW w:w="3509" w:type="dxa"/>
            <w:tcBorders>
              <w:top w:val="nil"/>
              <w:left w:val="nil"/>
              <w:bottom w:val="nil"/>
              <w:right w:val="nil"/>
            </w:tcBorders>
            <w:noWrap/>
            <w:vAlign w:val="center"/>
          </w:tcPr>
          <w:p w:rsidR="004B417C"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szCs w:val="22"/>
                <w:lang w:val="el-GR"/>
              </w:rPr>
            </w:pPr>
            <w:r>
              <w:rPr>
                <w:szCs w:val="22"/>
                <w:lang w:val="el-GR"/>
              </w:rPr>
              <w:t>Απομείωση απαιτήσεων</w:t>
            </w:r>
          </w:p>
        </w:tc>
        <w:tc>
          <w:tcPr>
            <w:tcW w:w="1782" w:type="dxa"/>
            <w:tcBorders>
              <w:top w:val="nil"/>
              <w:left w:val="nil"/>
              <w:bottom w:val="nil"/>
              <w:right w:val="nil"/>
            </w:tcBorders>
            <w:noWrap/>
            <w:vAlign w:val="center"/>
          </w:tcPr>
          <w:p w:rsidR="004B417C" w:rsidRPr="007F67BF" w:rsidRDefault="004B417C" w:rsidP="003C464D">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rPr>
                <w:b/>
                <w:szCs w:val="22"/>
                <w:highlight w:val="yellow"/>
                <w:lang w:val="el-GR"/>
              </w:rPr>
            </w:pPr>
            <w:r>
              <w:rPr>
                <w:b/>
                <w:szCs w:val="22"/>
              </w:rPr>
              <w:t xml:space="preserve">           </w:t>
            </w:r>
            <w:r>
              <w:rPr>
                <w:b/>
                <w:szCs w:val="22"/>
                <w:lang w:val="el-GR"/>
              </w:rPr>
              <w:t xml:space="preserve"> 9</w:t>
            </w:r>
            <w:r w:rsidRPr="00EA6C78">
              <w:rPr>
                <w:b/>
                <w:szCs w:val="22"/>
                <w:lang w:val="el-GR"/>
              </w:rPr>
              <w:t>.1</w:t>
            </w:r>
          </w:p>
        </w:tc>
        <w:tc>
          <w:tcPr>
            <w:tcW w:w="1560" w:type="dxa"/>
            <w:tcBorders>
              <w:top w:val="nil"/>
              <w:left w:val="nil"/>
              <w:right w:val="nil"/>
            </w:tcBorders>
            <w:vAlign w:val="center"/>
          </w:tcPr>
          <w:p w:rsidR="004B417C" w:rsidRPr="00B44C42" w:rsidRDefault="004B417C" w:rsidP="003C464D">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rPr>
                <w:szCs w:val="22"/>
              </w:rPr>
            </w:pPr>
            <w:r>
              <w:rPr>
                <w:szCs w:val="22"/>
              </w:rPr>
              <w:t xml:space="preserve">          (3</w:t>
            </w:r>
            <w:r>
              <w:rPr>
                <w:szCs w:val="22"/>
                <w:lang w:val="el-GR"/>
              </w:rPr>
              <w:t>6</w:t>
            </w:r>
            <w:r>
              <w:rPr>
                <w:szCs w:val="22"/>
              </w:rPr>
              <w:t>.</w:t>
            </w:r>
            <w:r>
              <w:rPr>
                <w:szCs w:val="22"/>
                <w:lang w:val="el-GR"/>
              </w:rPr>
              <w:t>968</w:t>
            </w:r>
            <w:r>
              <w:rPr>
                <w:szCs w:val="22"/>
              </w:rPr>
              <w:t>)</w:t>
            </w:r>
          </w:p>
        </w:tc>
        <w:tc>
          <w:tcPr>
            <w:tcW w:w="405" w:type="dxa"/>
            <w:tcBorders>
              <w:top w:val="nil"/>
              <w:left w:val="nil"/>
              <w:right w:val="nil"/>
            </w:tcBorders>
          </w:tcPr>
          <w:p w:rsidR="004B417C"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600" w:type="dxa"/>
            <w:tcBorders>
              <w:top w:val="nil"/>
              <w:left w:val="nil"/>
              <w:right w:val="nil"/>
            </w:tcBorders>
            <w:noWrap/>
            <w:vAlign w:val="center"/>
          </w:tcPr>
          <w:p w:rsidR="004B417C" w:rsidRPr="003C464D" w:rsidRDefault="004B417C" w:rsidP="003C464D">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rPr>
                <w:szCs w:val="22"/>
              </w:rPr>
            </w:pPr>
            <w:r>
              <w:rPr>
                <w:szCs w:val="22"/>
              </w:rPr>
              <w:t xml:space="preserve">          </w:t>
            </w:r>
            <w:r>
              <w:rPr>
                <w:szCs w:val="22"/>
                <w:lang w:val="el-GR"/>
              </w:rPr>
              <w:t>(</w:t>
            </w:r>
            <w:r>
              <w:rPr>
                <w:szCs w:val="22"/>
              </w:rPr>
              <w:t>63.491)</w:t>
            </w:r>
          </w:p>
        </w:tc>
      </w:tr>
      <w:tr w:rsidR="004B417C" w:rsidTr="003C464D">
        <w:trPr>
          <w:trHeight w:val="136"/>
        </w:trPr>
        <w:tc>
          <w:tcPr>
            <w:tcW w:w="3509" w:type="dxa"/>
            <w:tcBorders>
              <w:top w:val="nil"/>
              <w:left w:val="nil"/>
              <w:bottom w:val="nil"/>
              <w:right w:val="nil"/>
            </w:tcBorders>
            <w:noWrap/>
            <w:vAlign w:val="center"/>
          </w:tcPr>
          <w:p w:rsidR="004B417C"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szCs w:val="22"/>
                <w:lang w:val="el-GR"/>
              </w:rPr>
            </w:pPr>
            <w:r>
              <w:rPr>
                <w:szCs w:val="22"/>
                <w:lang w:val="el-GR"/>
              </w:rPr>
              <w:t>Απομείωση επενδυτικών ακινήτων</w:t>
            </w:r>
          </w:p>
        </w:tc>
        <w:tc>
          <w:tcPr>
            <w:tcW w:w="1782" w:type="dxa"/>
            <w:tcBorders>
              <w:top w:val="nil"/>
              <w:left w:val="nil"/>
              <w:bottom w:val="nil"/>
              <w:right w:val="nil"/>
            </w:tcBorders>
            <w:noWrap/>
            <w:vAlign w:val="center"/>
          </w:tcPr>
          <w:p w:rsidR="004B417C" w:rsidRPr="003C464D" w:rsidRDefault="004B417C" w:rsidP="003C464D">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rPr>
                <w:b/>
                <w:bCs/>
                <w:szCs w:val="22"/>
              </w:rPr>
            </w:pPr>
          </w:p>
        </w:tc>
        <w:tc>
          <w:tcPr>
            <w:tcW w:w="1560" w:type="dxa"/>
            <w:tcBorders>
              <w:top w:val="nil"/>
              <w:left w:val="nil"/>
              <w:right w:val="nil"/>
            </w:tcBorders>
            <w:vAlign w:val="center"/>
          </w:tcPr>
          <w:p w:rsidR="004B417C" w:rsidRPr="006F1CAD" w:rsidRDefault="004B417C" w:rsidP="003C464D">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rPr>
                <w:szCs w:val="22"/>
                <w:lang w:val="el-GR"/>
              </w:rPr>
            </w:pPr>
            <w:r>
              <w:rPr>
                <w:szCs w:val="22"/>
              </w:rPr>
              <w:t xml:space="preserve">          </w:t>
            </w:r>
            <w:r>
              <w:rPr>
                <w:szCs w:val="22"/>
                <w:lang w:val="el-GR"/>
              </w:rPr>
              <w:t>(20.309)</w:t>
            </w:r>
          </w:p>
        </w:tc>
        <w:tc>
          <w:tcPr>
            <w:tcW w:w="405" w:type="dxa"/>
            <w:tcBorders>
              <w:top w:val="nil"/>
              <w:left w:val="nil"/>
              <w:right w:val="nil"/>
            </w:tcBorders>
          </w:tcPr>
          <w:p w:rsidR="004B417C"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600" w:type="dxa"/>
            <w:tcBorders>
              <w:top w:val="nil"/>
              <w:left w:val="nil"/>
              <w:right w:val="nil"/>
            </w:tcBorders>
            <w:noWrap/>
            <w:vAlign w:val="center"/>
          </w:tcPr>
          <w:p w:rsidR="004B417C" w:rsidRDefault="004B417C" w:rsidP="003C464D">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rPr>
                <w:szCs w:val="22"/>
                <w:lang w:val="el-GR"/>
              </w:rPr>
            </w:pPr>
            <w:r>
              <w:rPr>
                <w:szCs w:val="22"/>
              </w:rPr>
              <w:t xml:space="preserve">                       -</w:t>
            </w:r>
          </w:p>
        </w:tc>
      </w:tr>
      <w:tr w:rsidR="004B417C" w:rsidTr="00503597">
        <w:trPr>
          <w:trHeight w:val="340"/>
        </w:trPr>
        <w:tc>
          <w:tcPr>
            <w:tcW w:w="3509" w:type="dxa"/>
            <w:tcBorders>
              <w:top w:val="nil"/>
              <w:left w:val="nil"/>
              <w:bottom w:val="nil"/>
              <w:right w:val="nil"/>
            </w:tcBorders>
            <w:noWrap/>
            <w:vAlign w:val="center"/>
          </w:tcPr>
          <w:p w:rsidR="004B417C"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szCs w:val="22"/>
                <w:lang w:val="el-GR"/>
              </w:rPr>
            </w:pPr>
            <w:r>
              <w:rPr>
                <w:szCs w:val="22"/>
                <w:lang w:val="el-GR"/>
              </w:rPr>
              <w:t>Γενικά και διοικητικά έξοδα</w:t>
            </w:r>
          </w:p>
        </w:tc>
        <w:tc>
          <w:tcPr>
            <w:tcW w:w="1782" w:type="dxa"/>
            <w:tcBorders>
              <w:top w:val="nil"/>
              <w:left w:val="nil"/>
              <w:bottom w:val="nil"/>
              <w:right w:val="nil"/>
            </w:tcBorders>
            <w:noWrap/>
            <w:vAlign w:val="center"/>
          </w:tcPr>
          <w:p w:rsidR="004B417C" w:rsidRPr="00EA6C78"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b/>
                <w:bCs/>
                <w:szCs w:val="22"/>
                <w:lang w:val="el-GR"/>
              </w:rPr>
            </w:pPr>
            <w:r>
              <w:rPr>
                <w:b/>
                <w:bCs/>
                <w:szCs w:val="22"/>
                <w:lang w:val="el-GR"/>
              </w:rPr>
              <w:t>6</w:t>
            </w:r>
          </w:p>
        </w:tc>
        <w:tc>
          <w:tcPr>
            <w:tcW w:w="1560" w:type="dxa"/>
            <w:tcBorders>
              <w:top w:val="nil"/>
              <w:left w:val="nil"/>
              <w:right w:val="nil"/>
            </w:tcBorders>
            <w:vAlign w:val="center"/>
          </w:tcPr>
          <w:p w:rsidR="004B417C" w:rsidRPr="00B44C42"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rPr>
            </w:pPr>
            <w:r>
              <w:rPr>
                <w:szCs w:val="22"/>
              </w:rPr>
              <w:t>(</w:t>
            </w:r>
            <w:r>
              <w:rPr>
                <w:szCs w:val="22"/>
                <w:lang w:val="el-GR"/>
              </w:rPr>
              <w:t>12</w:t>
            </w:r>
            <w:r>
              <w:rPr>
                <w:szCs w:val="22"/>
              </w:rPr>
              <w:t>.</w:t>
            </w:r>
            <w:r>
              <w:rPr>
                <w:szCs w:val="22"/>
                <w:lang w:val="el-GR"/>
              </w:rPr>
              <w:t>386</w:t>
            </w:r>
            <w:r>
              <w:rPr>
                <w:szCs w:val="22"/>
              </w:rPr>
              <w:t>)</w:t>
            </w:r>
          </w:p>
        </w:tc>
        <w:tc>
          <w:tcPr>
            <w:tcW w:w="405" w:type="dxa"/>
            <w:tcBorders>
              <w:top w:val="nil"/>
              <w:left w:val="nil"/>
              <w:right w:val="nil"/>
            </w:tcBorders>
          </w:tcPr>
          <w:p w:rsidR="004B417C"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600" w:type="dxa"/>
            <w:tcBorders>
              <w:top w:val="nil"/>
              <w:left w:val="nil"/>
              <w:right w:val="nil"/>
            </w:tcBorders>
            <w:noWrap/>
            <w:vAlign w:val="center"/>
          </w:tcPr>
          <w:p w:rsidR="004B417C" w:rsidRPr="00C1736D"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rPr>
            </w:pPr>
            <w:r>
              <w:rPr>
                <w:szCs w:val="22"/>
                <w:lang w:val="el-GR"/>
              </w:rPr>
              <w:t>(</w:t>
            </w:r>
            <w:r>
              <w:rPr>
                <w:szCs w:val="22"/>
              </w:rPr>
              <w:t>8.</w:t>
            </w:r>
            <w:r>
              <w:rPr>
                <w:szCs w:val="22"/>
                <w:lang w:val="el-GR"/>
              </w:rPr>
              <w:t>532</w:t>
            </w:r>
            <w:r>
              <w:rPr>
                <w:szCs w:val="22"/>
              </w:rPr>
              <w:t>)</w:t>
            </w:r>
          </w:p>
        </w:tc>
      </w:tr>
      <w:tr w:rsidR="004B417C" w:rsidTr="00503597">
        <w:trPr>
          <w:trHeight w:val="340"/>
        </w:trPr>
        <w:tc>
          <w:tcPr>
            <w:tcW w:w="3509" w:type="dxa"/>
            <w:tcBorders>
              <w:top w:val="nil"/>
              <w:left w:val="nil"/>
              <w:bottom w:val="nil"/>
              <w:right w:val="nil"/>
            </w:tcBorders>
            <w:noWrap/>
            <w:vAlign w:val="center"/>
          </w:tcPr>
          <w:p w:rsidR="004B417C" w:rsidRPr="00643128"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szCs w:val="22"/>
                <w:lang w:val="el-GR"/>
              </w:rPr>
            </w:pPr>
            <w:r w:rsidRPr="00643128">
              <w:rPr>
                <w:szCs w:val="22"/>
                <w:lang w:val="el-GR"/>
              </w:rPr>
              <w:t>Κόστος από λειτουργικές μισθώσεις</w:t>
            </w:r>
          </w:p>
        </w:tc>
        <w:tc>
          <w:tcPr>
            <w:tcW w:w="1782" w:type="dxa"/>
            <w:tcBorders>
              <w:top w:val="nil"/>
              <w:left w:val="nil"/>
              <w:bottom w:val="nil"/>
              <w:right w:val="nil"/>
            </w:tcBorders>
            <w:noWrap/>
            <w:vAlign w:val="center"/>
          </w:tcPr>
          <w:p w:rsidR="004B417C" w:rsidRPr="00643128"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szCs w:val="22"/>
                <w:lang w:val="el-GR"/>
              </w:rPr>
            </w:pPr>
          </w:p>
        </w:tc>
        <w:tc>
          <w:tcPr>
            <w:tcW w:w="1560" w:type="dxa"/>
            <w:tcBorders>
              <w:left w:val="nil"/>
              <w:bottom w:val="nil"/>
              <w:right w:val="nil"/>
            </w:tcBorders>
            <w:vAlign w:val="center"/>
          </w:tcPr>
          <w:p w:rsidR="004B417C" w:rsidRPr="00643128"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szCs w:val="22"/>
                <w:lang w:val="el-GR"/>
              </w:rPr>
            </w:pPr>
            <w:r w:rsidRPr="00643128">
              <w:rPr>
                <w:b/>
                <w:szCs w:val="22"/>
                <w:lang w:val="el-GR"/>
              </w:rPr>
              <w:t xml:space="preserve">       </w:t>
            </w:r>
            <w:r>
              <w:rPr>
                <w:b/>
                <w:szCs w:val="22"/>
                <w:lang w:val="el-GR"/>
              </w:rPr>
              <w:t xml:space="preserve">    </w:t>
            </w:r>
            <w:r>
              <w:rPr>
                <w:szCs w:val="22"/>
                <w:lang w:val="el-GR"/>
              </w:rPr>
              <w:t>(</w:t>
            </w:r>
            <w:r>
              <w:rPr>
                <w:szCs w:val="22"/>
              </w:rPr>
              <w:t>1.508</w:t>
            </w:r>
            <w:r w:rsidRPr="00643128">
              <w:rPr>
                <w:szCs w:val="22"/>
                <w:lang w:val="el-GR"/>
              </w:rPr>
              <w:t>)</w:t>
            </w:r>
          </w:p>
        </w:tc>
        <w:tc>
          <w:tcPr>
            <w:tcW w:w="405" w:type="dxa"/>
            <w:tcBorders>
              <w:left w:val="nil"/>
              <w:bottom w:val="nil"/>
              <w:right w:val="nil"/>
            </w:tcBorders>
          </w:tcPr>
          <w:p w:rsidR="004B417C" w:rsidRPr="00643128"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600" w:type="dxa"/>
            <w:tcBorders>
              <w:left w:val="nil"/>
              <w:bottom w:val="nil"/>
              <w:right w:val="nil"/>
            </w:tcBorders>
            <w:noWrap/>
            <w:vAlign w:val="center"/>
          </w:tcPr>
          <w:p w:rsidR="004B417C" w:rsidRPr="00C76733"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Cs w:val="22"/>
              </w:rPr>
            </w:pPr>
            <w:r w:rsidRPr="00C76733">
              <w:rPr>
                <w:szCs w:val="22"/>
              </w:rPr>
              <w:t>(2.704</w:t>
            </w:r>
            <w:r>
              <w:rPr>
                <w:b/>
                <w:szCs w:val="22"/>
              </w:rPr>
              <w:t>)</w:t>
            </w:r>
          </w:p>
        </w:tc>
      </w:tr>
      <w:tr w:rsidR="004B417C" w:rsidTr="00503597">
        <w:trPr>
          <w:trHeight w:val="340"/>
        </w:trPr>
        <w:tc>
          <w:tcPr>
            <w:tcW w:w="3509" w:type="dxa"/>
            <w:tcBorders>
              <w:top w:val="nil"/>
              <w:left w:val="nil"/>
              <w:bottom w:val="nil"/>
              <w:right w:val="nil"/>
            </w:tcBorders>
            <w:noWrap/>
            <w:vAlign w:val="center"/>
          </w:tcPr>
          <w:p w:rsidR="004B417C" w:rsidRPr="00643128"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szCs w:val="22"/>
                <w:lang w:val="el-GR"/>
              </w:rPr>
            </w:pPr>
            <w:r w:rsidRPr="00643128">
              <w:rPr>
                <w:b/>
                <w:szCs w:val="22"/>
                <w:lang w:val="el-GR"/>
              </w:rPr>
              <w:t>Σύνολο</w:t>
            </w:r>
            <w:r>
              <w:rPr>
                <w:b/>
                <w:szCs w:val="22"/>
                <w:lang w:val="el-GR"/>
              </w:rPr>
              <w:t xml:space="preserve"> εξόδων</w:t>
            </w:r>
          </w:p>
        </w:tc>
        <w:tc>
          <w:tcPr>
            <w:tcW w:w="1782" w:type="dxa"/>
            <w:tcBorders>
              <w:top w:val="nil"/>
              <w:left w:val="nil"/>
              <w:bottom w:val="nil"/>
              <w:right w:val="nil"/>
            </w:tcBorders>
            <w:noWrap/>
            <w:vAlign w:val="center"/>
          </w:tcPr>
          <w:p w:rsidR="004B417C" w:rsidRPr="00643128"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szCs w:val="22"/>
                <w:lang w:val="el-GR"/>
              </w:rPr>
            </w:pPr>
          </w:p>
        </w:tc>
        <w:tc>
          <w:tcPr>
            <w:tcW w:w="1560" w:type="dxa"/>
            <w:tcBorders>
              <w:top w:val="single" w:sz="4" w:space="0" w:color="auto"/>
              <w:left w:val="nil"/>
              <w:bottom w:val="nil"/>
              <w:right w:val="nil"/>
            </w:tcBorders>
            <w:vAlign w:val="center"/>
          </w:tcPr>
          <w:p w:rsidR="004B417C" w:rsidRPr="00643128"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b/>
                <w:szCs w:val="22"/>
              </w:rPr>
            </w:pPr>
            <w:r w:rsidRPr="00643128">
              <w:rPr>
                <w:b/>
                <w:szCs w:val="22"/>
                <w:lang w:val="el-GR"/>
              </w:rPr>
              <w:t xml:space="preserve">    </w:t>
            </w:r>
            <w:r>
              <w:rPr>
                <w:b/>
                <w:szCs w:val="22"/>
                <w:lang w:val="el-GR"/>
              </w:rPr>
              <w:t xml:space="preserve">     </w:t>
            </w:r>
            <w:r w:rsidRPr="00643128">
              <w:rPr>
                <w:b/>
                <w:szCs w:val="22"/>
              </w:rPr>
              <w:t>(</w:t>
            </w:r>
            <w:r>
              <w:rPr>
                <w:b/>
                <w:szCs w:val="22"/>
                <w:lang w:val="el-GR"/>
              </w:rPr>
              <w:t>71.171</w:t>
            </w:r>
            <w:r w:rsidRPr="00643128">
              <w:rPr>
                <w:b/>
                <w:szCs w:val="22"/>
              </w:rPr>
              <w:t>)</w:t>
            </w:r>
          </w:p>
        </w:tc>
        <w:tc>
          <w:tcPr>
            <w:tcW w:w="405" w:type="dxa"/>
            <w:tcBorders>
              <w:top w:val="nil"/>
              <w:left w:val="nil"/>
              <w:bottom w:val="nil"/>
              <w:right w:val="nil"/>
            </w:tcBorders>
          </w:tcPr>
          <w:p w:rsidR="004B417C" w:rsidRPr="00643128"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600" w:type="dxa"/>
            <w:tcBorders>
              <w:top w:val="single" w:sz="4" w:space="0" w:color="auto"/>
              <w:left w:val="nil"/>
              <w:bottom w:val="nil"/>
              <w:right w:val="nil"/>
            </w:tcBorders>
            <w:noWrap/>
            <w:vAlign w:val="center"/>
          </w:tcPr>
          <w:p w:rsidR="004B417C" w:rsidRPr="00643128"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Cs w:val="22"/>
              </w:rPr>
            </w:pPr>
            <w:r>
              <w:rPr>
                <w:b/>
                <w:szCs w:val="22"/>
                <w:lang w:val="el-GR"/>
              </w:rPr>
              <w:t>(</w:t>
            </w:r>
            <w:r>
              <w:rPr>
                <w:b/>
                <w:szCs w:val="22"/>
              </w:rPr>
              <w:t>74.</w:t>
            </w:r>
            <w:r>
              <w:rPr>
                <w:b/>
                <w:szCs w:val="22"/>
                <w:lang w:val="el-GR"/>
              </w:rPr>
              <w:t>727</w:t>
            </w:r>
            <w:r w:rsidRPr="00643128">
              <w:rPr>
                <w:b/>
                <w:szCs w:val="22"/>
              </w:rPr>
              <w:t>)</w:t>
            </w:r>
          </w:p>
        </w:tc>
      </w:tr>
      <w:tr w:rsidR="004B417C" w:rsidTr="00503597">
        <w:trPr>
          <w:trHeight w:hRule="exact" w:val="113"/>
        </w:trPr>
        <w:tc>
          <w:tcPr>
            <w:tcW w:w="3509" w:type="dxa"/>
            <w:tcBorders>
              <w:top w:val="nil"/>
              <w:left w:val="nil"/>
              <w:bottom w:val="nil"/>
              <w:right w:val="nil"/>
            </w:tcBorders>
            <w:noWrap/>
            <w:vAlign w:val="center"/>
          </w:tcPr>
          <w:p w:rsidR="004B417C"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ind w:firstLine="252"/>
              <w:rPr>
                <w:szCs w:val="22"/>
                <w:lang w:val="el-GR"/>
              </w:rPr>
            </w:pPr>
          </w:p>
        </w:tc>
        <w:tc>
          <w:tcPr>
            <w:tcW w:w="1782" w:type="dxa"/>
            <w:tcBorders>
              <w:top w:val="nil"/>
              <w:left w:val="nil"/>
              <w:bottom w:val="nil"/>
              <w:right w:val="nil"/>
            </w:tcBorders>
            <w:noWrap/>
            <w:vAlign w:val="center"/>
          </w:tcPr>
          <w:p w:rsidR="004B417C"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szCs w:val="22"/>
                <w:lang w:val="el-GR"/>
              </w:rPr>
            </w:pPr>
          </w:p>
        </w:tc>
        <w:tc>
          <w:tcPr>
            <w:tcW w:w="1560" w:type="dxa"/>
            <w:tcBorders>
              <w:top w:val="nil"/>
              <w:left w:val="nil"/>
              <w:bottom w:val="single" w:sz="4" w:space="0" w:color="auto"/>
              <w:right w:val="nil"/>
            </w:tcBorders>
            <w:vAlign w:val="center"/>
          </w:tcPr>
          <w:p w:rsidR="004B417C"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c>
          <w:tcPr>
            <w:tcW w:w="405" w:type="dxa"/>
            <w:tcBorders>
              <w:top w:val="nil"/>
              <w:left w:val="nil"/>
              <w:bottom w:val="nil"/>
              <w:right w:val="nil"/>
            </w:tcBorders>
          </w:tcPr>
          <w:p w:rsidR="004B417C"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600" w:type="dxa"/>
            <w:tcBorders>
              <w:top w:val="nil"/>
              <w:left w:val="nil"/>
              <w:bottom w:val="single" w:sz="4" w:space="0" w:color="auto"/>
              <w:right w:val="nil"/>
            </w:tcBorders>
            <w:noWrap/>
            <w:vAlign w:val="center"/>
          </w:tcPr>
          <w:p w:rsidR="004B417C"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r>
      <w:tr w:rsidR="004B417C" w:rsidTr="00503597">
        <w:trPr>
          <w:trHeight w:val="340"/>
        </w:trPr>
        <w:tc>
          <w:tcPr>
            <w:tcW w:w="3509" w:type="dxa"/>
            <w:tcBorders>
              <w:top w:val="nil"/>
              <w:left w:val="nil"/>
              <w:bottom w:val="nil"/>
              <w:right w:val="nil"/>
            </w:tcBorders>
            <w:noWrap/>
            <w:vAlign w:val="center"/>
          </w:tcPr>
          <w:p w:rsidR="004B417C"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b/>
                <w:szCs w:val="22"/>
                <w:lang w:val="el-GR"/>
              </w:rPr>
            </w:pPr>
            <w:r>
              <w:rPr>
                <w:b/>
                <w:szCs w:val="22"/>
                <w:lang w:val="el-GR"/>
              </w:rPr>
              <w:t>Ζημιές χρήσεως προ φόρων</w:t>
            </w:r>
          </w:p>
        </w:tc>
        <w:tc>
          <w:tcPr>
            <w:tcW w:w="1782" w:type="dxa"/>
            <w:tcBorders>
              <w:top w:val="nil"/>
              <w:left w:val="nil"/>
              <w:bottom w:val="nil"/>
              <w:right w:val="nil"/>
            </w:tcBorders>
            <w:noWrap/>
            <w:vAlign w:val="center"/>
          </w:tcPr>
          <w:p w:rsidR="004B417C"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szCs w:val="22"/>
                <w:lang w:val="el-GR"/>
              </w:rPr>
            </w:pPr>
          </w:p>
        </w:tc>
        <w:tc>
          <w:tcPr>
            <w:tcW w:w="1560" w:type="dxa"/>
            <w:tcBorders>
              <w:top w:val="single" w:sz="4" w:space="0" w:color="auto"/>
              <w:left w:val="nil"/>
              <w:bottom w:val="nil"/>
              <w:right w:val="nil"/>
            </w:tcBorders>
            <w:vAlign w:val="center"/>
          </w:tcPr>
          <w:p w:rsidR="004B417C" w:rsidRPr="00891FF8"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Cs w:val="22"/>
                <w:lang w:val="el-GR"/>
              </w:rPr>
            </w:pPr>
            <w:r>
              <w:rPr>
                <w:b/>
                <w:szCs w:val="22"/>
                <w:lang w:val="el-GR"/>
              </w:rPr>
              <w:t>(65.450)</w:t>
            </w:r>
          </w:p>
        </w:tc>
        <w:tc>
          <w:tcPr>
            <w:tcW w:w="405" w:type="dxa"/>
            <w:tcBorders>
              <w:top w:val="nil"/>
              <w:left w:val="nil"/>
              <w:bottom w:val="nil"/>
              <w:right w:val="nil"/>
            </w:tcBorders>
          </w:tcPr>
          <w:p w:rsidR="004B417C" w:rsidRPr="0038774B"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 w:val="20"/>
                <w:lang w:val="el-GR"/>
              </w:rPr>
            </w:pPr>
          </w:p>
        </w:tc>
        <w:tc>
          <w:tcPr>
            <w:tcW w:w="1600" w:type="dxa"/>
            <w:tcBorders>
              <w:top w:val="single" w:sz="4" w:space="0" w:color="auto"/>
              <w:left w:val="nil"/>
              <w:bottom w:val="nil"/>
              <w:right w:val="nil"/>
            </w:tcBorders>
            <w:noWrap/>
            <w:vAlign w:val="center"/>
          </w:tcPr>
          <w:p w:rsidR="004B417C" w:rsidRPr="0038774B"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Cs w:val="22"/>
              </w:rPr>
            </w:pPr>
            <w:r>
              <w:rPr>
                <w:b/>
                <w:szCs w:val="22"/>
              </w:rPr>
              <w:t>(68.</w:t>
            </w:r>
            <w:r>
              <w:rPr>
                <w:b/>
                <w:szCs w:val="22"/>
                <w:lang w:val="el-GR"/>
              </w:rPr>
              <w:t>822</w:t>
            </w:r>
            <w:r w:rsidRPr="0038774B">
              <w:rPr>
                <w:b/>
                <w:szCs w:val="22"/>
              </w:rPr>
              <w:t>)</w:t>
            </w:r>
          </w:p>
        </w:tc>
      </w:tr>
      <w:tr w:rsidR="004B417C" w:rsidTr="00503597">
        <w:trPr>
          <w:trHeight w:val="340"/>
        </w:trPr>
        <w:tc>
          <w:tcPr>
            <w:tcW w:w="3509" w:type="dxa"/>
            <w:tcBorders>
              <w:top w:val="nil"/>
              <w:left w:val="nil"/>
              <w:bottom w:val="nil"/>
              <w:right w:val="nil"/>
            </w:tcBorders>
            <w:noWrap/>
            <w:vAlign w:val="center"/>
          </w:tcPr>
          <w:p w:rsidR="004B417C"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szCs w:val="22"/>
                <w:lang w:val="el-GR"/>
              </w:rPr>
            </w:pPr>
            <w:r>
              <w:rPr>
                <w:szCs w:val="22"/>
                <w:lang w:val="el-GR"/>
              </w:rPr>
              <w:t>Φόρος εισοδήματος</w:t>
            </w:r>
          </w:p>
        </w:tc>
        <w:tc>
          <w:tcPr>
            <w:tcW w:w="1782" w:type="dxa"/>
            <w:tcBorders>
              <w:top w:val="nil"/>
              <w:left w:val="nil"/>
              <w:bottom w:val="nil"/>
              <w:right w:val="nil"/>
            </w:tcBorders>
            <w:noWrap/>
            <w:vAlign w:val="center"/>
          </w:tcPr>
          <w:p w:rsidR="004B417C" w:rsidRPr="00EA6C78"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b/>
                <w:bCs/>
                <w:szCs w:val="22"/>
                <w:lang w:val="el-GR"/>
              </w:rPr>
            </w:pPr>
            <w:r>
              <w:rPr>
                <w:b/>
                <w:bCs/>
                <w:szCs w:val="22"/>
                <w:lang w:val="el-GR"/>
              </w:rPr>
              <w:t>7</w:t>
            </w:r>
          </w:p>
        </w:tc>
        <w:tc>
          <w:tcPr>
            <w:tcW w:w="1560" w:type="dxa"/>
            <w:tcBorders>
              <w:top w:val="nil"/>
              <w:left w:val="nil"/>
              <w:bottom w:val="nil"/>
              <w:right w:val="nil"/>
            </w:tcBorders>
            <w:vAlign w:val="center"/>
          </w:tcPr>
          <w:p w:rsidR="004B417C" w:rsidRPr="00F97186"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rPr>
            </w:pPr>
            <w:r>
              <w:rPr>
                <w:szCs w:val="22"/>
              </w:rPr>
              <w:t>-</w:t>
            </w:r>
          </w:p>
        </w:tc>
        <w:tc>
          <w:tcPr>
            <w:tcW w:w="405" w:type="dxa"/>
            <w:tcBorders>
              <w:top w:val="nil"/>
              <w:left w:val="nil"/>
              <w:bottom w:val="nil"/>
              <w:right w:val="nil"/>
            </w:tcBorders>
            <w:vAlign w:val="center"/>
          </w:tcPr>
          <w:p w:rsidR="004B417C"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600" w:type="dxa"/>
            <w:tcBorders>
              <w:top w:val="nil"/>
              <w:left w:val="nil"/>
              <w:bottom w:val="nil"/>
              <w:right w:val="nil"/>
            </w:tcBorders>
            <w:noWrap/>
            <w:vAlign w:val="center"/>
          </w:tcPr>
          <w:p w:rsidR="004B417C" w:rsidRPr="002F69B0"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r>
              <w:rPr>
                <w:szCs w:val="22"/>
                <w:lang w:val="el-GR"/>
              </w:rPr>
              <w:t>(3.028)</w:t>
            </w:r>
          </w:p>
        </w:tc>
      </w:tr>
      <w:tr w:rsidR="004B417C" w:rsidTr="00503597">
        <w:trPr>
          <w:trHeight w:hRule="exact" w:val="113"/>
        </w:trPr>
        <w:tc>
          <w:tcPr>
            <w:tcW w:w="3509" w:type="dxa"/>
            <w:tcBorders>
              <w:top w:val="nil"/>
              <w:left w:val="nil"/>
              <w:bottom w:val="nil"/>
              <w:right w:val="nil"/>
            </w:tcBorders>
            <w:noWrap/>
            <w:vAlign w:val="center"/>
          </w:tcPr>
          <w:p w:rsidR="004B417C"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ind w:firstLine="252"/>
              <w:rPr>
                <w:b/>
                <w:szCs w:val="22"/>
                <w:lang w:val="el-GR"/>
              </w:rPr>
            </w:pPr>
          </w:p>
        </w:tc>
        <w:tc>
          <w:tcPr>
            <w:tcW w:w="1782" w:type="dxa"/>
            <w:tcBorders>
              <w:top w:val="nil"/>
              <w:left w:val="nil"/>
              <w:bottom w:val="nil"/>
              <w:right w:val="nil"/>
            </w:tcBorders>
            <w:noWrap/>
            <w:vAlign w:val="center"/>
          </w:tcPr>
          <w:p w:rsidR="004B417C"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szCs w:val="22"/>
                <w:lang w:val="el-GR"/>
              </w:rPr>
            </w:pPr>
          </w:p>
        </w:tc>
        <w:tc>
          <w:tcPr>
            <w:tcW w:w="1560" w:type="dxa"/>
            <w:tcBorders>
              <w:top w:val="nil"/>
              <w:left w:val="nil"/>
              <w:bottom w:val="single" w:sz="4" w:space="0" w:color="auto"/>
              <w:right w:val="nil"/>
            </w:tcBorders>
            <w:vAlign w:val="center"/>
          </w:tcPr>
          <w:p w:rsidR="004B417C"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c>
          <w:tcPr>
            <w:tcW w:w="405" w:type="dxa"/>
            <w:tcBorders>
              <w:top w:val="nil"/>
              <w:left w:val="nil"/>
              <w:bottom w:val="nil"/>
              <w:right w:val="nil"/>
            </w:tcBorders>
          </w:tcPr>
          <w:p w:rsidR="004B417C"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600" w:type="dxa"/>
            <w:tcBorders>
              <w:top w:val="nil"/>
              <w:left w:val="nil"/>
              <w:bottom w:val="single" w:sz="4" w:space="0" w:color="auto"/>
              <w:right w:val="nil"/>
            </w:tcBorders>
            <w:noWrap/>
            <w:vAlign w:val="center"/>
          </w:tcPr>
          <w:p w:rsidR="004B417C"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r>
      <w:tr w:rsidR="004B417C" w:rsidTr="00503597">
        <w:trPr>
          <w:trHeight w:val="340"/>
        </w:trPr>
        <w:tc>
          <w:tcPr>
            <w:tcW w:w="3509" w:type="dxa"/>
            <w:tcBorders>
              <w:top w:val="nil"/>
              <w:left w:val="nil"/>
              <w:bottom w:val="nil"/>
              <w:right w:val="nil"/>
            </w:tcBorders>
            <w:noWrap/>
            <w:vAlign w:val="center"/>
          </w:tcPr>
          <w:p w:rsidR="004B417C"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b/>
                <w:szCs w:val="22"/>
                <w:lang w:val="el-GR"/>
              </w:rPr>
            </w:pPr>
            <w:r>
              <w:rPr>
                <w:b/>
                <w:szCs w:val="22"/>
                <w:lang w:val="el-GR"/>
              </w:rPr>
              <w:t>Ζημιές χρήσεως μετά από φόρους (Α)</w:t>
            </w:r>
          </w:p>
        </w:tc>
        <w:tc>
          <w:tcPr>
            <w:tcW w:w="1782" w:type="dxa"/>
            <w:tcBorders>
              <w:top w:val="nil"/>
              <w:left w:val="nil"/>
              <w:bottom w:val="nil"/>
              <w:right w:val="nil"/>
            </w:tcBorders>
            <w:noWrap/>
            <w:vAlign w:val="center"/>
          </w:tcPr>
          <w:p w:rsidR="004B417C"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szCs w:val="22"/>
                <w:lang w:val="el-GR"/>
              </w:rPr>
            </w:pPr>
          </w:p>
        </w:tc>
        <w:tc>
          <w:tcPr>
            <w:tcW w:w="1560" w:type="dxa"/>
            <w:tcBorders>
              <w:top w:val="single" w:sz="4" w:space="0" w:color="auto"/>
              <w:left w:val="nil"/>
              <w:bottom w:val="double" w:sz="4" w:space="0" w:color="auto"/>
              <w:right w:val="nil"/>
            </w:tcBorders>
            <w:vAlign w:val="center"/>
          </w:tcPr>
          <w:p w:rsidR="004B417C" w:rsidRPr="00891FF8"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Cs w:val="22"/>
                <w:lang w:val="el-GR"/>
              </w:rPr>
            </w:pPr>
            <w:r>
              <w:rPr>
                <w:b/>
                <w:szCs w:val="22"/>
                <w:lang w:val="el-GR"/>
              </w:rPr>
              <w:t>(65.450)</w:t>
            </w:r>
          </w:p>
        </w:tc>
        <w:tc>
          <w:tcPr>
            <w:tcW w:w="405" w:type="dxa"/>
            <w:tcBorders>
              <w:top w:val="nil"/>
              <w:left w:val="nil"/>
              <w:right w:val="nil"/>
            </w:tcBorders>
          </w:tcPr>
          <w:p w:rsidR="004B417C"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600" w:type="dxa"/>
            <w:tcBorders>
              <w:top w:val="single" w:sz="4" w:space="0" w:color="auto"/>
              <w:left w:val="nil"/>
              <w:bottom w:val="double" w:sz="4" w:space="0" w:color="auto"/>
              <w:right w:val="nil"/>
            </w:tcBorders>
            <w:noWrap/>
            <w:vAlign w:val="center"/>
          </w:tcPr>
          <w:p w:rsidR="004B417C" w:rsidRPr="00C1736D"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Cs w:val="22"/>
              </w:rPr>
            </w:pPr>
            <w:r>
              <w:rPr>
                <w:b/>
                <w:szCs w:val="22"/>
              </w:rPr>
              <w:t>(</w:t>
            </w:r>
            <w:r>
              <w:rPr>
                <w:b/>
                <w:szCs w:val="22"/>
                <w:lang w:val="el-GR"/>
              </w:rPr>
              <w:t>71</w:t>
            </w:r>
            <w:r>
              <w:rPr>
                <w:b/>
                <w:szCs w:val="22"/>
              </w:rPr>
              <w:t>.</w:t>
            </w:r>
            <w:r>
              <w:rPr>
                <w:b/>
                <w:szCs w:val="22"/>
                <w:lang w:val="el-GR"/>
              </w:rPr>
              <w:t>850</w:t>
            </w:r>
            <w:r>
              <w:rPr>
                <w:b/>
                <w:szCs w:val="22"/>
              </w:rPr>
              <w:t>)</w:t>
            </w:r>
          </w:p>
        </w:tc>
      </w:tr>
      <w:tr w:rsidR="004B417C" w:rsidTr="00503597">
        <w:trPr>
          <w:trHeight w:val="340"/>
        </w:trPr>
        <w:tc>
          <w:tcPr>
            <w:tcW w:w="3509" w:type="dxa"/>
            <w:tcBorders>
              <w:top w:val="nil"/>
              <w:left w:val="nil"/>
              <w:right w:val="nil"/>
            </w:tcBorders>
            <w:noWrap/>
            <w:vAlign w:val="center"/>
          </w:tcPr>
          <w:p w:rsidR="004B417C"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b/>
                <w:szCs w:val="22"/>
                <w:lang w:val="el-GR"/>
              </w:rPr>
            </w:pPr>
          </w:p>
          <w:p w:rsidR="004B417C"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b/>
                <w:szCs w:val="22"/>
                <w:lang w:val="el-GR"/>
              </w:rPr>
            </w:pPr>
            <w:r>
              <w:rPr>
                <w:b/>
                <w:szCs w:val="22"/>
                <w:lang w:val="el-GR"/>
              </w:rPr>
              <w:t>Λοιπά συνολικά έσοδα / έξοδα</w:t>
            </w:r>
          </w:p>
        </w:tc>
        <w:tc>
          <w:tcPr>
            <w:tcW w:w="1782" w:type="dxa"/>
            <w:tcBorders>
              <w:top w:val="nil"/>
              <w:left w:val="nil"/>
              <w:right w:val="nil"/>
            </w:tcBorders>
            <w:noWrap/>
            <w:vAlign w:val="center"/>
          </w:tcPr>
          <w:p w:rsidR="004B417C"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szCs w:val="22"/>
                <w:lang w:val="el-GR"/>
              </w:rPr>
            </w:pPr>
          </w:p>
        </w:tc>
        <w:tc>
          <w:tcPr>
            <w:tcW w:w="1560" w:type="dxa"/>
            <w:tcBorders>
              <w:top w:val="single" w:sz="4" w:space="0" w:color="auto"/>
              <w:left w:val="nil"/>
              <w:right w:val="nil"/>
            </w:tcBorders>
            <w:vAlign w:val="center"/>
          </w:tcPr>
          <w:p w:rsidR="004B417C"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Cs w:val="22"/>
                <w:lang w:val="el-GR"/>
              </w:rPr>
            </w:pPr>
          </w:p>
        </w:tc>
        <w:tc>
          <w:tcPr>
            <w:tcW w:w="405" w:type="dxa"/>
            <w:tcBorders>
              <w:top w:val="nil"/>
              <w:left w:val="nil"/>
              <w:right w:val="nil"/>
            </w:tcBorders>
          </w:tcPr>
          <w:p w:rsidR="004B417C"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600" w:type="dxa"/>
            <w:tcBorders>
              <w:top w:val="single" w:sz="4" w:space="0" w:color="auto"/>
              <w:left w:val="nil"/>
              <w:right w:val="nil"/>
            </w:tcBorders>
            <w:noWrap/>
            <w:vAlign w:val="center"/>
          </w:tcPr>
          <w:p w:rsidR="004B417C"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Cs w:val="22"/>
                <w:lang w:val="el-GR"/>
              </w:rPr>
            </w:pPr>
          </w:p>
        </w:tc>
      </w:tr>
      <w:tr w:rsidR="004B417C" w:rsidRPr="00BD73D4" w:rsidTr="00503597">
        <w:trPr>
          <w:trHeight w:val="340"/>
        </w:trPr>
        <w:tc>
          <w:tcPr>
            <w:tcW w:w="3509" w:type="dxa"/>
            <w:noWrap/>
            <w:vAlign w:val="center"/>
          </w:tcPr>
          <w:p w:rsidR="004B417C"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szCs w:val="22"/>
                <w:lang w:val="el-GR"/>
              </w:rPr>
            </w:pPr>
          </w:p>
          <w:p w:rsidR="004B417C" w:rsidRPr="00125A7A"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szCs w:val="22"/>
                <w:lang w:val="el-GR"/>
              </w:rPr>
            </w:pPr>
            <w:r>
              <w:rPr>
                <w:szCs w:val="22"/>
                <w:lang w:val="el-GR"/>
              </w:rPr>
              <w:t>Αποθεματικό χρεογράφων διαθεσίμων προς πώληση :</w:t>
            </w:r>
          </w:p>
        </w:tc>
        <w:tc>
          <w:tcPr>
            <w:tcW w:w="1782" w:type="dxa"/>
            <w:noWrap/>
            <w:vAlign w:val="center"/>
          </w:tcPr>
          <w:p w:rsidR="004B417C"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szCs w:val="22"/>
                <w:lang w:val="el-GR"/>
              </w:rPr>
            </w:pPr>
          </w:p>
        </w:tc>
        <w:tc>
          <w:tcPr>
            <w:tcW w:w="1560" w:type="dxa"/>
            <w:vAlign w:val="center"/>
          </w:tcPr>
          <w:p w:rsidR="004B417C" w:rsidRPr="00125A7A"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c>
          <w:tcPr>
            <w:tcW w:w="405" w:type="dxa"/>
          </w:tcPr>
          <w:p w:rsidR="004B417C" w:rsidRPr="00125A7A"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600" w:type="dxa"/>
            <w:noWrap/>
            <w:vAlign w:val="center"/>
          </w:tcPr>
          <w:p w:rsidR="004B417C" w:rsidRPr="00125A7A"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r>
      <w:tr w:rsidR="004B417C" w:rsidTr="00503597">
        <w:trPr>
          <w:trHeight w:val="340"/>
        </w:trPr>
        <w:tc>
          <w:tcPr>
            <w:tcW w:w="3509" w:type="dxa"/>
            <w:noWrap/>
            <w:vAlign w:val="center"/>
          </w:tcPr>
          <w:p w:rsidR="004B417C"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szCs w:val="22"/>
                <w:lang w:val="el-GR"/>
              </w:rPr>
            </w:pPr>
            <w:r>
              <w:rPr>
                <w:szCs w:val="22"/>
                <w:lang w:val="el-GR"/>
              </w:rPr>
              <w:t>-Μεταβολή περιόδου</w:t>
            </w:r>
          </w:p>
        </w:tc>
        <w:tc>
          <w:tcPr>
            <w:tcW w:w="1782" w:type="dxa"/>
            <w:noWrap/>
            <w:vAlign w:val="center"/>
          </w:tcPr>
          <w:p w:rsidR="004B417C"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szCs w:val="22"/>
                <w:lang w:val="el-GR"/>
              </w:rPr>
            </w:pPr>
          </w:p>
        </w:tc>
        <w:tc>
          <w:tcPr>
            <w:tcW w:w="1560" w:type="dxa"/>
            <w:vAlign w:val="center"/>
          </w:tcPr>
          <w:p w:rsidR="004B417C" w:rsidRPr="00B674FD"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r>
              <w:rPr>
                <w:szCs w:val="22"/>
                <w:lang w:val="el-GR"/>
              </w:rPr>
              <w:t>380</w:t>
            </w:r>
          </w:p>
        </w:tc>
        <w:tc>
          <w:tcPr>
            <w:tcW w:w="405" w:type="dxa"/>
          </w:tcPr>
          <w:p w:rsidR="004B417C" w:rsidRPr="00125A7A"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600" w:type="dxa"/>
            <w:noWrap/>
            <w:vAlign w:val="center"/>
          </w:tcPr>
          <w:p w:rsidR="004B417C" w:rsidRPr="00C552B2"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r>
              <w:rPr>
                <w:szCs w:val="22"/>
                <w:lang w:val="el-GR"/>
              </w:rPr>
              <w:t>(795)</w:t>
            </w:r>
          </w:p>
        </w:tc>
      </w:tr>
      <w:tr w:rsidR="004B417C" w:rsidTr="00503597">
        <w:trPr>
          <w:trHeight w:val="340"/>
        </w:trPr>
        <w:tc>
          <w:tcPr>
            <w:tcW w:w="3509" w:type="dxa"/>
            <w:noWrap/>
            <w:vAlign w:val="center"/>
          </w:tcPr>
          <w:p w:rsidR="004B417C"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szCs w:val="22"/>
                <w:lang w:val="el-GR"/>
              </w:rPr>
            </w:pPr>
            <w:r>
              <w:rPr>
                <w:szCs w:val="22"/>
                <w:lang w:val="el-GR"/>
              </w:rPr>
              <w:t>-Φόρος που αναλογεί</w:t>
            </w:r>
          </w:p>
        </w:tc>
        <w:tc>
          <w:tcPr>
            <w:tcW w:w="1782" w:type="dxa"/>
            <w:noWrap/>
            <w:vAlign w:val="center"/>
          </w:tcPr>
          <w:p w:rsidR="004B417C"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szCs w:val="22"/>
                <w:lang w:val="el-GR"/>
              </w:rPr>
            </w:pPr>
          </w:p>
        </w:tc>
        <w:tc>
          <w:tcPr>
            <w:tcW w:w="1560" w:type="dxa"/>
            <w:tcBorders>
              <w:bottom w:val="single" w:sz="2" w:space="0" w:color="auto"/>
            </w:tcBorders>
            <w:vAlign w:val="center"/>
          </w:tcPr>
          <w:p w:rsidR="004B417C" w:rsidRPr="00891FF8"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szCs w:val="22"/>
                <w:highlight w:val="yellow"/>
                <w:lang w:val="el-GR"/>
              </w:rPr>
            </w:pPr>
            <w:r>
              <w:rPr>
                <w:szCs w:val="22"/>
                <w:lang w:val="el-GR"/>
              </w:rPr>
              <w:t xml:space="preserve">                    </w:t>
            </w:r>
            <w:r>
              <w:rPr>
                <w:szCs w:val="22"/>
              </w:rPr>
              <w:t xml:space="preserve">-           </w:t>
            </w:r>
          </w:p>
        </w:tc>
        <w:tc>
          <w:tcPr>
            <w:tcW w:w="405" w:type="dxa"/>
          </w:tcPr>
          <w:p w:rsidR="004B417C" w:rsidRPr="00125A7A"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600" w:type="dxa"/>
            <w:tcBorders>
              <w:bottom w:val="single" w:sz="2" w:space="0" w:color="auto"/>
            </w:tcBorders>
            <w:noWrap/>
            <w:vAlign w:val="center"/>
          </w:tcPr>
          <w:p w:rsidR="004B417C" w:rsidRPr="0064793B"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r>
              <w:rPr>
                <w:szCs w:val="22"/>
                <w:lang w:val="el-GR"/>
              </w:rPr>
              <w:t>-</w:t>
            </w:r>
          </w:p>
        </w:tc>
      </w:tr>
      <w:tr w:rsidR="004B417C" w:rsidRPr="00125A7A" w:rsidTr="00503597">
        <w:trPr>
          <w:trHeight w:val="340"/>
        </w:trPr>
        <w:tc>
          <w:tcPr>
            <w:tcW w:w="3509" w:type="dxa"/>
            <w:noWrap/>
            <w:vAlign w:val="center"/>
          </w:tcPr>
          <w:p w:rsidR="004B417C" w:rsidRPr="00125A7A"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b/>
                <w:szCs w:val="22"/>
                <w:lang w:val="el-GR"/>
              </w:rPr>
            </w:pPr>
            <w:r w:rsidRPr="00125A7A">
              <w:rPr>
                <w:b/>
                <w:szCs w:val="22"/>
                <w:lang w:val="el-GR"/>
              </w:rPr>
              <w:t>Λοιπά συνολικά έσοδα</w:t>
            </w:r>
            <w:r>
              <w:rPr>
                <w:b/>
                <w:szCs w:val="22"/>
                <w:lang w:val="el-GR"/>
              </w:rPr>
              <w:t xml:space="preserve"> / έξοδα</w:t>
            </w:r>
            <w:r w:rsidRPr="00125A7A">
              <w:rPr>
                <w:b/>
                <w:szCs w:val="22"/>
                <w:lang w:val="el-GR"/>
              </w:rPr>
              <w:t xml:space="preserve"> μετά από φόρους (Β)</w:t>
            </w:r>
          </w:p>
        </w:tc>
        <w:tc>
          <w:tcPr>
            <w:tcW w:w="1782" w:type="dxa"/>
            <w:noWrap/>
            <w:vAlign w:val="center"/>
          </w:tcPr>
          <w:p w:rsidR="004B417C" w:rsidRPr="00125A7A"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b/>
                <w:szCs w:val="22"/>
                <w:lang w:val="el-GR"/>
              </w:rPr>
            </w:pPr>
          </w:p>
        </w:tc>
        <w:tc>
          <w:tcPr>
            <w:tcW w:w="1560" w:type="dxa"/>
            <w:tcBorders>
              <w:top w:val="single" w:sz="2" w:space="0" w:color="auto"/>
              <w:bottom w:val="single" w:sz="2" w:space="0" w:color="auto"/>
            </w:tcBorders>
            <w:vAlign w:val="center"/>
          </w:tcPr>
          <w:p w:rsidR="004B417C" w:rsidRPr="00B674FD"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Cs w:val="22"/>
                <w:lang w:val="el-GR"/>
              </w:rPr>
            </w:pPr>
            <w:r>
              <w:rPr>
                <w:b/>
                <w:szCs w:val="22"/>
                <w:lang w:val="el-GR"/>
              </w:rPr>
              <w:t>380</w:t>
            </w:r>
          </w:p>
        </w:tc>
        <w:tc>
          <w:tcPr>
            <w:tcW w:w="405" w:type="dxa"/>
          </w:tcPr>
          <w:p w:rsidR="004B417C" w:rsidRPr="00C552B2"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color w:val="FF0000"/>
                <w:sz w:val="20"/>
                <w:lang w:val="el-GR"/>
              </w:rPr>
            </w:pPr>
          </w:p>
        </w:tc>
        <w:tc>
          <w:tcPr>
            <w:tcW w:w="1600" w:type="dxa"/>
            <w:tcBorders>
              <w:top w:val="single" w:sz="2" w:space="0" w:color="auto"/>
              <w:bottom w:val="single" w:sz="2" w:space="0" w:color="auto"/>
            </w:tcBorders>
            <w:noWrap/>
            <w:vAlign w:val="center"/>
          </w:tcPr>
          <w:p w:rsidR="004B417C" w:rsidRPr="00C552B2"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Cs w:val="22"/>
                <w:lang w:val="el-GR"/>
              </w:rPr>
            </w:pPr>
            <w:r>
              <w:rPr>
                <w:b/>
                <w:szCs w:val="22"/>
                <w:lang w:val="el-GR"/>
              </w:rPr>
              <w:t>(795)</w:t>
            </w:r>
          </w:p>
        </w:tc>
      </w:tr>
      <w:tr w:rsidR="004B417C" w:rsidRPr="00125A7A" w:rsidTr="00503597">
        <w:trPr>
          <w:trHeight w:val="340"/>
        </w:trPr>
        <w:tc>
          <w:tcPr>
            <w:tcW w:w="3509" w:type="dxa"/>
            <w:noWrap/>
            <w:vAlign w:val="center"/>
          </w:tcPr>
          <w:p w:rsidR="004B417C" w:rsidRPr="00125A7A"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b/>
                <w:szCs w:val="22"/>
                <w:lang w:val="el-GR"/>
              </w:rPr>
            </w:pPr>
          </w:p>
        </w:tc>
        <w:tc>
          <w:tcPr>
            <w:tcW w:w="1782" w:type="dxa"/>
            <w:noWrap/>
            <w:vAlign w:val="center"/>
          </w:tcPr>
          <w:p w:rsidR="004B417C" w:rsidRPr="00125A7A"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b/>
                <w:szCs w:val="22"/>
                <w:lang w:val="el-GR"/>
              </w:rPr>
            </w:pPr>
          </w:p>
        </w:tc>
        <w:tc>
          <w:tcPr>
            <w:tcW w:w="1560" w:type="dxa"/>
            <w:tcBorders>
              <w:top w:val="single" w:sz="2" w:space="0" w:color="auto"/>
              <w:bottom w:val="single" w:sz="2" w:space="0" w:color="auto"/>
            </w:tcBorders>
            <w:vAlign w:val="center"/>
          </w:tcPr>
          <w:p w:rsidR="004B417C" w:rsidRPr="007E28B7"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Cs w:val="22"/>
                <w:highlight w:val="yellow"/>
                <w:lang w:val="el-GR"/>
              </w:rPr>
            </w:pPr>
          </w:p>
        </w:tc>
        <w:tc>
          <w:tcPr>
            <w:tcW w:w="405" w:type="dxa"/>
          </w:tcPr>
          <w:p w:rsidR="004B417C" w:rsidRPr="00125A7A"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 w:val="20"/>
                <w:lang w:val="el-GR"/>
              </w:rPr>
            </w:pPr>
          </w:p>
        </w:tc>
        <w:tc>
          <w:tcPr>
            <w:tcW w:w="1600" w:type="dxa"/>
            <w:tcBorders>
              <w:top w:val="single" w:sz="2" w:space="0" w:color="auto"/>
              <w:bottom w:val="single" w:sz="2" w:space="0" w:color="auto"/>
            </w:tcBorders>
            <w:noWrap/>
            <w:vAlign w:val="center"/>
          </w:tcPr>
          <w:p w:rsidR="004B417C"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Cs w:val="22"/>
                <w:lang w:val="el-GR"/>
              </w:rPr>
            </w:pPr>
          </w:p>
        </w:tc>
      </w:tr>
      <w:tr w:rsidR="004B417C" w:rsidRPr="0064793B" w:rsidTr="00503597">
        <w:trPr>
          <w:trHeight w:val="340"/>
        </w:trPr>
        <w:tc>
          <w:tcPr>
            <w:tcW w:w="3509" w:type="dxa"/>
            <w:noWrap/>
            <w:vAlign w:val="center"/>
          </w:tcPr>
          <w:p w:rsidR="004B417C" w:rsidRPr="00125A7A"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b/>
                <w:szCs w:val="22"/>
                <w:lang w:val="el-GR"/>
              </w:rPr>
            </w:pPr>
            <w:r>
              <w:rPr>
                <w:b/>
                <w:szCs w:val="22"/>
                <w:lang w:val="el-GR"/>
              </w:rPr>
              <w:t>Συγκεντρωτικά συνολικά έξοδα μετά από φόρους (Α) + (Β)</w:t>
            </w:r>
          </w:p>
        </w:tc>
        <w:tc>
          <w:tcPr>
            <w:tcW w:w="1782" w:type="dxa"/>
            <w:noWrap/>
            <w:vAlign w:val="center"/>
          </w:tcPr>
          <w:p w:rsidR="004B417C" w:rsidRPr="00125A7A"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b/>
                <w:szCs w:val="22"/>
                <w:lang w:val="el-GR"/>
              </w:rPr>
            </w:pPr>
          </w:p>
        </w:tc>
        <w:tc>
          <w:tcPr>
            <w:tcW w:w="1560" w:type="dxa"/>
            <w:tcBorders>
              <w:top w:val="single" w:sz="2" w:space="0" w:color="auto"/>
              <w:bottom w:val="double" w:sz="4" w:space="0" w:color="auto"/>
            </w:tcBorders>
            <w:vAlign w:val="center"/>
          </w:tcPr>
          <w:p w:rsidR="004B417C" w:rsidRPr="00891FF8"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Cs w:val="22"/>
                <w:lang w:val="el-GR"/>
              </w:rPr>
            </w:pPr>
            <w:r>
              <w:rPr>
                <w:b/>
                <w:szCs w:val="22"/>
                <w:lang w:val="el-GR"/>
              </w:rPr>
              <w:t>(65.070)</w:t>
            </w:r>
          </w:p>
        </w:tc>
        <w:tc>
          <w:tcPr>
            <w:tcW w:w="405" w:type="dxa"/>
          </w:tcPr>
          <w:p w:rsidR="004B417C" w:rsidRPr="0086149D"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 w:val="20"/>
                <w:lang w:val="el-GR"/>
              </w:rPr>
            </w:pPr>
          </w:p>
        </w:tc>
        <w:tc>
          <w:tcPr>
            <w:tcW w:w="1600" w:type="dxa"/>
            <w:tcBorders>
              <w:top w:val="single" w:sz="2" w:space="0" w:color="auto"/>
              <w:bottom w:val="double" w:sz="4" w:space="0" w:color="auto"/>
            </w:tcBorders>
            <w:noWrap/>
            <w:vAlign w:val="center"/>
          </w:tcPr>
          <w:p w:rsidR="004B417C" w:rsidRPr="0064793B" w:rsidRDefault="004B417C"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Cs w:val="22"/>
                <w:lang w:val="el-GR"/>
              </w:rPr>
            </w:pPr>
            <w:r w:rsidRPr="0064793B">
              <w:rPr>
                <w:b/>
                <w:szCs w:val="22"/>
                <w:lang w:val="el-GR"/>
              </w:rPr>
              <w:t>(</w:t>
            </w:r>
            <w:r>
              <w:rPr>
                <w:b/>
                <w:szCs w:val="22"/>
                <w:lang w:val="el-GR"/>
              </w:rPr>
              <w:t>72.645</w:t>
            </w:r>
            <w:r w:rsidRPr="0064793B">
              <w:rPr>
                <w:b/>
                <w:szCs w:val="22"/>
                <w:lang w:val="el-GR"/>
              </w:rPr>
              <w:t>)</w:t>
            </w:r>
          </w:p>
        </w:tc>
      </w:tr>
    </w:tbl>
    <w:p w:rsidR="004B417C" w:rsidRDefault="004B417C" w:rsidP="0027152B">
      <w:pPr>
        <w:spacing w:line="360" w:lineRule="auto"/>
        <w:rPr>
          <w:b/>
          <w:sz w:val="20"/>
          <w:lang w:val="el-GR"/>
        </w:rPr>
      </w:pPr>
    </w:p>
    <w:p w:rsidR="004B417C" w:rsidRPr="0064793B" w:rsidRDefault="004B417C" w:rsidP="0027152B">
      <w:pPr>
        <w:spacing w:line="360" w:lineRule="auto"/>
        <w:rPr>
          <w:b/>
          <w:sz w:val="20"/>
          <w:lang w:val="el-GR"/>
        </w:rPr>
      </w:pPr>
    </w:p>
    <w:p w:rsidR="004B417C" w:rsidRDefault="004B417C" w:rsidP="0027152B">
      <w:pPr>
        <w:spacing w:line="360" w:lineRule="auto"/>
        <w:rPr>
          <w:b/>
          <w:sz w:val="20"/>
          <w:lang w:val="el-GR"/>
        </w:rPr>
      </w:pPr>
    </w:p>
    <w:p w:rsidR="004B417C" w:rsidRDefault="004B417C" w:rsidP="0027152B">
      <w:pPr>
        <w:spacing w:line="360" w:lineRule="auto"/>
        <w:rPr>
          <w:b/>
          <w:sz w:val="20"/>
          <w:lang w:val="el-GR"/>
        </w:rPr>
      </w:pPr>
    </w:p>
    <w:p w:rsidR="004B417C" w:rsidRPr="00C36D94" w:rsidRDefault="004B417C" w:rsidP="0027152B">
      <w:pPr>
        <w:spacing w:line="360" w:lineRule="auto"/>
        <w:rPr>
          <w:b/>
          <w:sz w:val="20"/>
          <w:lang w:val="el-GR"/>
        </w:rPr>
      </w:pPr>
    </w:p>
    <w:p w:rsidR="004B417C" w:rsidRPr="0064793B" w:rsidRDefault="004B417C" w:rsidP="00810A8E">
      <w:pPr>
        <w:rPr>
          <w:lang w:val="el-GR"/>
        </w:rPr>
      </w:pPr>
    </w:p>
    <w:p w:rsidR="004B417C" w:rsidRDefault="004B417C" w:rsidP="00BF20A1">
      <w:pPr>
        <w:pStyle w:val="xl38"/>
        <w:pBdr>
          <w:bottom w:val="none" w:sz="0" w:space="0" w:color="auto"/>
        </w:pBdr>
        <w:spacing w:before="0" w:beforeAutospacing="0" w:after="0" w:afterAutospacing="0" w:line="360" w:lineRule="auto"/>
        <w:jc w:val="both"/>
        <w:rPr>
          <w:rFonts w:eastAsia="Times New Roman" w:cs="Times New Roman"/>
          <w:b w:val="0"/>
          <w:sz w:val="20"/>
          <w:szCs w:val="18"/>
          <w:lang w:eastAsia="en-US"/>
        </w:rPr>
      </w:pPr>
    </w:p>
    <w:p w:rsidR="004B417C" w:rsidRPr="00897C4C" w:rsidRDefault="004B417C" w:rsidP="00897C4C">
      <w:pPr>
        <w:pStyle w:val="xl38"/>
        <w:pBdr>
          <w:bottom w:val="none" w:sz="0" w:space="0" w:color="auto"/>
        </w:pBdr>
        <w:spacing w:before="0" w:beforeAutospacing="0" w:after="0" w:afterAutospacing="0" w:line="360" w:lineRule="auto"/>
        <w:jc w:val="both"/>
        <w:rPr>
          <w:rFonts w:eastAsia="Times New Roman" w:cs="Times New Roman"/>
          <w:b w:val="0"/>
          <w:sz w:val="18"/>
          <w:szCs w:val="18"/>
          <w:lang w:eastAsia="en-US"/>
        </w:rPr>
      </w:pPr>
      <w:r>
        <w:rPr>
          <w:rFonts w:eastAsia="Times New Roman" w:cs="Times New Roman"/>
          <w:b w:val="0"/>
          <w:sz w:val="20"/>
          <w:szCs w:val="18"/>
          <w:lang w:eastAsia="en-US"/>
        </w:rPr>
        <w:t>Οι επισυναπτόμενες σημειώσεις  που αναφέρονται στις σελίδες από 5 έως 30</w:t>
      </w:r>
      <w:r w:rsidRPr="003141B4">
        <w:rPr>
          <w:rFonts w:eastAsia="Times New Roman" w:cs="Times New Roman"/>
          <w:b w:val="0"/>
          <w:sz w:val="20"/>
          <w:szCs w:val="18"/>
          <w:lang w:eastAsia="en-US"/>
        </w:rPr>
        <w:t xml:space="preserve"> αποτελούν αναπόσπαστο</w:t>
      </w:r>
      <w:r>
        <w:rPr>
          <w:rFonts w:eastAsia="Times New Roman" w:cs="Times New Roman"/>
          <w:b w:val="0"/>
          <w:sz w:val="20"/>
          <w:szCs w:val="18"/>
          <w:lang w:eastAsia="en-US"/>
        </w:rPr>
        <w:t xml:space="preserve"> μέρος των οικονομικών καταστάσεων.</w:t>
      </w:r>
    </w:p>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b/>
          <w:lang w:val="el-GR"/>
        </w:rPr>
      </w:pPr>
      <w:r>
        <w:rPr>
          <w:b/>
          <w:lang w:val="el-GR"/>
        </w:rPr>
        <w:lastRenderedPageBreak/>
        <w:t>Κατάσταση Οικονομικής Θέσης</w:t>
      </w:r>
    </w:p>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b/>
          <w:lang w:val="el-GR"/>
        </w:rPr>
      </w:pPr>
      <w:r>
        <w:rPr>
          <w:b/>
          <w:lang w:val="el-GR"/>
        </w:rPr>
        <w:t xml:space="preserve">της 31 Δεκεμβρίου </w:t>
      </w:r>
    </w:p>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b/>
          <w:lang w:val="el-GR"/>
        </w:rPr>
      </w:pPr>
    </w:p>
    <w:tbl>
      <w:tblPr>
        <w:tblW w:w="9214" w:type="dxa"/>
        <w:tblInd w:w="108" w:type="dxa"/>
        <w:tblLook w:val="0000"/>
      </w:tblPr>
      <w:tblGrid>
        <w:gridCol w:w="4320"/>
        <w:gridCol w:w="1440"/>
        <w:gridCol w:w="1260"/>
        <w:gridCol w:w="327"/>
        <w:gridCol w:w="1293"/>
        <w:gridCol w:w="574"/>
      </w:tblGrid>
      <w:tr w:rsidR="004B417C">
        <w:trPr>
          <w:trHeight w:val="284"/>
        </w:trPr>
        <w:tc>
          <w:tcPr>
            <w:tcW w:w="4320" w:type="dxa"/>
            <w:tcBorders>
              <w:left w:val="nil"/>
              <w:bottom w:val="nil"/>
              <w:right w:val="nil"/>
            </w:tcBorders>
            <w:noWrap/>
            <w:vAlign w:val="center"/>
          </w:tcPr>
          <w:p w:rsidR="004B417C" w:rsidRDefault="004B417C">
            <w:pPr>
              <w:tabs>
                <w:tab w:val="clear" w:pos="454"/>
                <w:tab w:val="clear" w:pos="680"/>
                <w:tab w:val="clear" w:pos="907"/>
                <w:tab w:val="clear" w:pos="1644"/>
                <w:tab w:val="clear" w:pos="1871"/>
                <w:tab w:val="clear" w:pos="2580"/>
                <w:tab w:val="clear" w:pos="2807"/>
                <w:tab w:val="clear" w:pos="3515"/>
                <w:tab w:val="clear" w:pos="4451"/>
                <w:tab w:val="clear" w:pos="4678"/>
                <w:tab w:val="clear" w:pos="5387"/>
                <w:tab w:val="clear" w:pos="5613"/>
                <w:tab w:val="clear" w:pos="6322"/>
                <w:tab w:val="clear" w:pos="6549"/>
              </w:tabs>
              <w:rPr>
                <w:i/>
                <w:sz w:val="18"/>
                <w:szCs w:val="18"/>
                <w:lang w:val="el-GR"/>
              </w:rPr>
            </w:pPr>
            <w:r>
              <w:rPr>
                <w:i/>
                <w:sz w:val="18"/>
                <w:szCs w:val="18"/>
                <w:lang w:val="el-GR"/>
              </w:rPr>
              <w:t>Ποσά σε χιλιάδες Ευρώ</w:t>
            </w:r>
          </w:p>
        </w:tc>
        <w:tc>
          <w:tcPr>
            <w:tcW w:w="1440" w:type="dxa"/>
            <w:tcBorders>
              <w:left w:val="nil"/>
              <w:bottom w:val="nil"/>
              <w:right w:val="nil"/>
            </w:tcBorders>
            <w:noWrap/>
            <w:vAlign w:val="center"/>
          </w:tcPr>
          <w:p w:rsidR="004B417C" w:rsidRDefault="004B417C">
            <w:pPr>
              <w:rPr>
                <w:szCs w:val="22"/>
                <w:lang w:val="el-GR"/>
              </w:rPr>
            </w:pPr>
          </w:p>
        </w:tc>
        <w:tc>
          <w:tcPr>
            <w:tcW w:w="1260" w:type="dxa"/>
            <w:tcBorders>
              <w:left w:val="nil"/>
              <w:right w:val="nil"/>
            </w:tcBorders>
            <w:vAlign w:val="center"/>
          </w:tcPr>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s>
              <w:jc w:val="center"/>
              <w:rPr>
                <w:b/>
                <w:szCs w:val="22"/>
                <w:lang w:val="el-GR"/>
              </w:rPr>
            </w:pPr>
          </w:p>
        </w:tc>
        <w:tc>
          <w:tcPr>
            <w:tcW w:w="327" w:type="dxa"/>
            <w:tcBorders>
              <w:left w:val="nil"/>
              <w:right w:val="nil"/>
            </w:tcBorders>
          </w:tcPr>
          <w:p w:rsidR="004B417C" w:rsidRDefault="004B417C">
            <w:pPr>
              <w:tabs>
                <w:tab w:val="clear" w:pos="227"/>
                <w:tab w:val="clear" w:pos="454"/>
                <w:tab w:val="clear" w:pos="680"/>
                <w:tab w:val="clear" w:pos="907"/>
                <w:tab w:val="clear" w:pos="1644"/>
                <w:tab w:val="clear" w:pos="1871"/>
                <w:tab w:val="clear" w:pos="2580"/>
                <w:tab w:val="clear" w:pos="2807"/>
                <w:tab w:val="clear" w:pos="3515"/>
              </w:tabs>
              <w:jc w:val="center"/>
              <w:rPr>
                <w:sz w:val="20"/>
                <w:lang w:val="el-GR"/>
              </w:rPr>
            </w:pPr>
          </w:p>
        </w:tc>
        <w:tc>
          <w:tcPr>
            <w:tcW w:w="1293" w:type="dxa"/>
            <w:tcBorders>
              <w:left w:val="nil"/>
              <w:right w:val="nil"/>
            </w:tcBorders>
            <w:noWrap/>
            <w:vAlign w:val="center"/>
          </w:tcPr>
          <w:p w:rsidR="004B417C" w:rsidRDefault="004B417C">
            <w:pPr>
              <w:tabs>
                <w:tab w:val="clear" w:pos="227"/>
                <w:tab w:val="clear" w:pos="454"/>
                <w:tab w:val="clear" w:pos="680"/>
                <w:tab w:val="clear" w:pos="907"/>
                <w:tab w:val="clear" w:pos="1644"/>
                <w:tab w:val="clear" w:pos="1871"/>
                <w:tab w:val="clear" w:pos="2580"/>
                <w:tab w:val="clear" w:pos="2807"/>
                <w:tab w:val="clear" w:pos="3515"/>
              </w:tabs>
              <w:jc w:val="center"/>
              <w:rPr>
                <w:b/>
                <w:szCs w:val="22"/>
                <w:lang w:val="el-GR"/>
              </w:rPr>
            </w:pPr>
          </w:p>
        </w:tc>
        <w:tc>
          <w:tcPr>
            <w:tcW w:w="574" w:type="dxa"/>
            <w:tcBorders>
              <w:top w:val="nil"/>
              <w:left w:val="nil"/>
              <w:right w:val="nil"/>
            </w:tcBorders>
            <w:vAlign w:val="center"/>
          </w:tcPr>
          <w:p w:rsidR="004B417C" w:rsidRDefault="004B417C">
            <w:pPr>
              <w:jc w:val="center"/>
              <w:rPr>
                <w:szCs w:val="22"/>
                <w:lang w:val="el-GR"/>
              </w:rPr>
            </w:pPr>
          </w:p>
        </w:tc>
      </w:tr>
      <w:tr w:rsidR="004B417C">
        <w:trPr>
          <w:trHeight w:val="284"/>
        </w:trPr>
        <w:tc>
          <w:tcPr>
            <w:tcW w:w="4320" w:type="dxa"/>
            <w:tcBorders>
              <w:left w:val="nil"/>
              <w:bottom w:val="nil"/>
              <w:right w:val="nil"/>
            </w:tcBorders>
            <w:noWrap/>
            <w:vAlign w:val="center"/>
          </w:tcPr>
          <w:p w:rsidR="004B417C" w:rsidRDefault="004B417C">
            <w:pPr>
              <w:tabs>
                <w:tab w:val="clear" w:pos="454"/>
                <w:tab w:val="clear" w:pos="680"/>
                <w:tab w:val="clear" w:pos="907"/>
                <w:tab w:val="clear" w:pos="1644"/>
                <w:tab w:val="clear" w:pos="1871"/>
                <w:tab w:val="clear" w:pos="2580"/>
                <w:tab w:val="clear" w:pos="2807"/>
                <w:tab w:val="clear" w:pos="3515"/>
                <w:tab w:val="clear" w:pos="4451"/>
                <w:tab w:val="clear" w:pos="4678"/>
                <w:tab w:val="clear" w:pos="5387"/>
                <w:tab w:val="clear" w:pos="5613"/>
                <w:tab w:val="clear" w:pos="6322"/>
                <w:tab w:val="clear" w:pos="6549"/>
              </w:tabs>
              <w:rPr>
                <w:szCs w:val="22"/>
                <w:lang w:val="el-GR"/>
              </w:rPr>
            </w:pPr>
          </w:p>
        </w:tc>
        <w:tc>
          <w:tcPr>
            <w:tcW w:w="1440" w:type="dxa"/>
            <w:tcBorders>
              <w:left w:val="nil"/>
              <w:bottom w:val="nil"/>
              <w:right w:val="nil"/>
            </w:tcBorders>
            <w:noWrap/>
            <w:vAlign w:val="center"/>
          </w:tcPr>
          <w:p w:rsidR="004B417C" w:rsidRPr="007967BE" w:rsidRDefault="004B417C">
            <w:pPr>
              <w:tabs>
                <w:tab w:val="clear" w:pos="227"/>
                <w:tab w:val="clear" w:pos="454"/>
                <w:tab w:val="clear" w:pos="680"/>
                <w:tab w:val="clear" w:pos="907"/>
                <w:tab w:val="clear" w:pos="1644"/>
                <w:tab w:val="clear" w:pos="1871"/>
                <w:tab w:val="clear" w:pos="2580"/>
                <w:tab w:val="clear" w:pos="3515"/>
                <w:tab w:val="clear" w:pos="3742"/>
                <w:tab w:val="clear" w:pos="4451"/>
                <w:tab w:val="clear" w:pos="4678"/>
                <w:tab w:val="clear" w:pos="5387"/>
                <w:tab w:val="clear" w:pos="5613"/>
              </w:tabs>
              <w:jc w:val="center"/>
              <w:rPr>
                <w:b/>
                <w:szCs w:val="22"/>
                <w:lang w:val="el-GR"/>
              </w:rPr>
            </w:pPr>
            <w:r w:rsidRPr="007967BE">
              <w:rPr>
                <w:b/>
                <w:szCs w:val="22"/>
                <w:lang w:val="el-GR"/>
              </w:rPr>
              <w:t>Σημείωση</w:t>
            </w:r>
          </w:p>
        </w:tc>
        <w:tc>
          <w:tcPr>
            <w:tcW w:w="1260" w:type="dxa"/>
            <w:tcBorders>
              <w:left w:val="nil"/>
              <w:bottom w:val="single" w:sz="4" w:space="0" w:color="auto"/>
              <w:right w:val="nil"/>
            </w:tcBorders>
            <w:vAlign w:val="center"/>
          </w:tcPr>
          <w:p w:rsidR="004B417C" w:rsidRPr="00035705"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s>
              <w:jc w:val="right"/>
              <w:rPr>
                <w:b/>
                <w:szCs w:val="22"/>
              </w:rPr>
            </w:pPr>
            <w:r>
              <w:rPr>
                <w:b/>
                <w:szCs w:val="22"/>
                <w:lang w:val="el-GR"/>
              </w:rPr>
              <w:t>201</w:t>
            </w:r>
            <w:r>
              <w:rPr>
                <w:b/>
                <w:szCs w:val="22"/>
              </w:rPr>
              <w:t>2</w:t>
            </w:r>
          </w:p>
        </w:tc>
        <w:tc>
          <w:tcPr>
            <w:tcW w:w="327" w:type="dxa"/>
            <w:tcBorders>
              <w:left w:val="nil"/>
              <w:right w:val="nil"/>
            </w:tcBorders>
          </w:tcPr>
          <w:p w:rsidR="004B417C" w:rsidRDefault="004B417C">
            <w:pPr>
              <w:tabs>
                <w:tab w:val="clear" w:pos="227"/>
                <w:tab w:val="clear" w:pos="454"/>
                <w:tab w:val="clear" w:pos="680"/>
                <w:tab w:val="clear" w:pos="907"/>
                <w:tab w:val="clear" w:pos="1644"/>
                <w:tab w:val="clear" w:pos="1871"/>
                <w:tab w:val="clear" w:pos="2580"/>
                <w:tab w:val="clear" w:pos="2807"/>
                <w:tab w:val="clear" w:pos="3515"/>
              </w:tabs>
              <w:jc w:val="right"/>
              <w:rPr>
                <w:sz w:val="20"/>
                <w:lang w:val="el-GR"/>
              </w:rPr>
            </w:pPr>
          </w:p>
        </w:tc>
        <w:tc>
          <w:tcPr>
            <w:tcW w:w="1293" w:type="dxa"/>
            <w:tcBorders>
              <w:left w:val="nil"/>
              <w:bottom w:val="single" w:sz="4" w:space="0" w:color="auto"/>
              <w:right w:val="nil"/>
            </w:tcBorders>
            <w:noWrap/>
            <w:vAlign w:val="center"/>
          </w:tcPr>
          <w:p w:rsidR="004B417C" w:rsidRPr="00035705"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s>
              <w:jc w:val="right"/>
              <w:rPr>
                <w:b/>
                <w:szCs w:val="22"/>
              </w:rPr>
            </w:pPr>
            <w:r>
              <w:rPr>
                <w:b/>
                <w:szCs w:val="22"/>
                <w:lang w:val="el-GR"/>
              </w:rPr>
              <w:t>201</w:t>
            </w:r>
            <w:r>
              <w:rPr>
                <w:b/>
                <w:szCs w:val="22"/>
              </w:rPr>
              <w:t>1</w:t>
            </w:r>
          </w:p>
        </w:tc>
        <w:tc>
          <w:tcPr>
            <w:tcW w:w="574" w:type="dxa"/>
            <w:tcBorders>
              <w:left w:val="nil"/>
              <w:right w:val="nil"/>
            </w:tcBorders>
            <w:vAlign w:val="center"/>
          </w:tcPr>
          <w:p w:rsidR="004B417C" w:rsidRDefault="004B417C">
            <w:pPr>
              <w:jc w:val="center"/>
              <w:rPr>
                <w:szCs w:val="22"/>
                <w:lang w:val="el-GR"/>
              </w:rPr>
            </w:pPr>
          </w:p>
        </w:tc>
      </w:tr>
      <w:tr w:rsidR="004B417C">
        <w:trPr>
          <w:trHeight w:val="284"/>
        </w:trPr>
        <w:tc>
          <w:tcPr>
            <w:tcW w:w="4320" w:type="dxa"/>
            <w:tcBorders>
              <w:top w:val="nil"/>
              <w:left w:val="nil"/>
              <w:bottom w:val="nil"/>
              <w:right w:val="nil"/>
            </w:tcBorders>
            <w:noWrap/>
            <w:vAlign w:val="center"/>
          </w:tcPr>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b/>
                <w:szCs w:val="22"/>
                <w:u w:val="single"/>
                <w:lang w:val="el-GR"/>
              </w:rPr>
            </w:pPr>
            <w:r>
              <w:rPr>
                <w:b/>
                <w:szCs w:val="22"/>
                <w:u w:val="single"/>
                <w:lang w:val="el-GR"/>
              </w:rPr>
              <w:t>ΕΝΕΡΓΗΤΙΚΟ</w:t>
            </w:r>
          </w:p>
        </w:tc>
        <w:tc>
          <w:tcPr>
            <w:tcW w:w="1440" w:type="dxa"/>
            <w:tcBorders>
              <w:top w:val="nil"/>
              <w:left w:val="nil"/>
              <w:bottom w:val="nil"/>
              <w:right w:val="nil"/>
            </w:tcBorders>
            <w:noWrap/>
            <w:vAlign w:val="center"/>
          </w:tcPr>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szCs w:val="22"/>
                <w:lang w:val="el-GR"/>
              </w:rPr>
            </w:pPr>
          </w:p>
        </w:tc>
        <w:tc>
          <w:tcPr>
            <w:tcW w:w="1260" w:type="dxa"/>
            <w:tcBorders>
              <w:left w:val="nil"/>
              <w:bottom w:val="nil"/>
              <w:right w:val="nil"/>
            </w:tcBorders>
            <w:vAlign w:val="center"/>
          </w:tcPr>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s>
              <w:jc w:val="right"/>
              <w:rPr>
                <w:szCs w:val="22"/>
                <w:lang w:val="el-GR"/>
              </w:rPr>
            </w:pPr>
          </w:p>
        </w:tc>
        <w:tc>
          <w:tcPr>
            <w:tcW w:w="327" w:type="dxa"/>
            <w:tcBorders>
              <w:left w:val="nil"/>
              <w:bottom w:val="nil"/>
              <w:right w:val="nil"/>
            </w:tcBorders>
          </w:tcPr>
          <w:p w:rsidR="004B417C" w:rsidRDefault="004B417C">
            <w:pPr>
              <w:jc w:val="right"/>
              <w:rPr>
                <w:sz w:val="20"/>
                <w:lang w:val="el-GR"/>
              </w:rPr>
            </w:pPr>
          </w:p>
        </w:tc>
        <w:tc>
          <w:tcPr>
            <w:tcW w:w="1293" w:type="dxa"/>
            <w:tcBorders>
              <w:left w:val="nil"/>
              <w:bottom w:val="nil"/>
              <w:right w:val="nil"/>
            </w:tcBorders>
            <w:noWrap/>
            <w:vAlign w:val="center"/>
          </w:tcPr>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s>
              <w:jc w:val="right"/>
              <w:rPr>
                <w:szCs w:val="22"/>
                <w:lang w:val="el-GR"/>
              </w:rPr>
            </w:pPr>
          </w:p>
        </w:tc>
        <w:tc>
          <w:tcPr>
            <w:tcW w:w="574" w:type="dxa"/>
            <w:tcBorders>
              <w:top w:val="nil"/>
              <w:left w:val="nil"/>
              <w:bottom w:val="nil"/>
              <w:right w:val="nil"/>
            </w:tcBorders>
            <w:vAlign w:val="center"/>
          </w:tcPr>
          <w:p w:rsidR="004B417C" w:rsidRDefault="004B417C">
            <w:pPr>
              <w:tabs>
                <w:tab w:val="clear" w:pos="227"/>
                <w:tab w:val="clear" w:pos="454"/>
                <w:tab w:val="clear" w:pos="680"/>
                <w:tab w:val="clear" w:pos="907"/>
                <w:tab w:val="clear" w:pos="1644"/>
                <w:tab w:val="clear" w:pos="1871"/>
                <w:tab w:val="clear" w:pos="2580"/>
                <w:tab w:val="clear" w:pos="2807"/>
              </w:tabs>
              <w:jc w:val="right"/>
              <w:rPr>
                <w:szCs w:val="22"/>
                <w:highlight w:val="yellow"/>
                <w:lang w:val="el-GR"/>
              </w:rPr>
            </w:pPr>
          </w:p>
        </w:tc>
      </w:tr>
      <w:tr w:rsidR="004B417C">
        <w:trPr>
          <w:trHeight w:hRule="exact" w:val="113"/>
        </w:trPr>
        <w:tc>
          <w:tcPr>
            <w:tcW w:w="4320" w:type="dxa"/>
            <w:tcBorders>
              <w:top w:val="nil"/>
              <w:left w:val="nil"/>
              <w:bottom w:val="nil"/>
              <w:right w:val="nil"/>
            </w:tcBorders>
            <w:noWrap/>
            <w:vAlign w:val="center"/>
          </w:tcPr>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szCs w:val="22"/>
                <w:lang w:val="el-GR"/>
              </w:rPr>
            </w:pPr>
          </w:p>
        </w:tc>
        <w:tc>
          <w:tcPr>
            <w:tcW w:w="1440" w:type="dxa"/>
            <w:tcBorders>
              <w:top w:val="nil"/>
              <w:left w:val="nil"/>
              <w:bottom w:val="nil"/>
              <w:right w:val="nil"/>
            </w:tcBorders>
            <w:noWrap/>
            <w:vAlign w:val="center"/>
          </w:tcPr>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szCs w:val="22"/>
                <w:lang w:val="el-GR"/>
              </w:rPr>
            </w:pPr>
          </w:p>
        </w:tc>
        <w:tc>
          <w:tcPr>
            <w:tcW w:w="1260" w:type="dxa"/>
            <w:tcBorders>
              <w:top w:val="nil"/>
              <w:left w:val="nil"/>
              <w:right w:val="nil"/>
            </w:tcBorders>
            <w:vAlign w:val="center"/>
          </w:tcPr>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s>
              <w:jc w:val="right"/>
              <w:rPr>
                <w:szCs w:val="22"/>
                <w:lang w:val="el-GR"/>
              </w:rPr>
            </w:pPr>
          </w:p>
        </w:tc>
        <w:tc>
          <w:tcPr>
            <w:tcW w:w="327" w:type="dxa"/>
            <w:tcBorders>
              <w:top w:val="nil"/>
              <w:left w:val="nil"/>
              <w:right w:val="nil"/>
            </w:tcBorders>
          </w:tcPr>
          <w:p w:rsidR="004B417C" w:rsidRDefault="004B417C">
            <w:pPr>
              <w:jc w:val="right"/>
              <w:rPr>
                <w:sz w:val="20"/>
                <w:lang w:val="el-GR"/>
              </w:rPr>
            </w:pPr>
          </w:p>
        </w:tc>
        <w:tc>
          <w:tcPr>
            <w:tcW w:w="1293" w:type="dxa"/>
            <w:tcBorders>
              <w:top w:val="nil"/>
              <w:left w:val="nil"/>
              <w:right w:val="nil"/>
            </w:tcBorders>
            <w:noWrap/>
            <w:vAlign w:val="center"/>
          </w:tcPr>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s>
              <w:jc w:val="right"/>
              <w:rPr>
                <w:szCs w:val="22"/>
                <w:lang w:val="el-GR"/>
              </w:rPr>
            </w:pPr>
          </w:p>
        </w:tc>
        <w:tc>
          <w:tcPr>
            <w:tcW w:w="574" w:type="dxa"/>
            <w:tcBorders>
              <w:top w:val="nil"/>
              <w:left w:val="nil"/>
              <w:bottom w:val="nil"/>
              <w:right w:val="nil"/>
            </w:tcBorders>
            <w:vAlign w:val="center"/>
          </w:tcPr>
          <w:p w:rsidR="004B417C" w:rsidRDefault="004B417C">
            <w:pPr>
              <w:tabs>
                <w:tab w:val="clear" w:pos="227"/>
                <w:tab w:val="clear" w:pos="454"/>
                <w:tab w:val="clear" w:pos="680"/>
                <w:tab w:val="clear" w:pos="907"/>
                <w:tab w:val="clear" w:pos="1644"/>
                <w:tab w:val="clear" w:pos="1871"/>
                <w:tab w:val="clear" w:pos="2580"/>
                <w:tab w:val="clear" w:pos="2807"/>
              </w:tabs>
              <w:jc w:val="right"/>
              <w:rPr>
                <w:szCs w:val="22"/>
                <w:lang w:val="el-GR"/>
              </w:rPr>
            </w:pPr>
          </w:p>
        </w:tc>
      </w:tr>
      <w:tr w:rsidR="004B417C">
        <w:trPr>
          <w:trHeight w:val="284"/>
        </w:trPr>
        <w:tc>
          <w:tcPr>
            <w:tcW w:w="4320" w:type="dxa"/>
            <w:tcBorders>
              <w:top w:val="nil"/>
              <w:left w:val="nil"/>
              <w:right w:val="nil"/>
            </w:tcBorders>
            <w:noWrap/>
            <w:vAlign w:val="center"/>
          </w:tcPr>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b/>
                <w:szCs w:val="22"/>
                <w:lang w:val="el-GR"/>
              </w:rPr>
            </w:pPr>
          </w:p>
        </w:tc>
        <w:tc>
          <w:tcPr>
            <w:tcW w:w="1440" w:type="dxa"/>
            <w:tcBorders>
              <w:top w:val="nil"/>
              <w:left w:val="nil"/>
              <w:right w:val="nil"/>
            </w:tcBorders>
            <w:noWrap/>
            <w:vAlign w:val="center"/>
          </w:tcPr>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szCs w:val="22"/>
                <w:lang w:val="el-GR"/>
              </w:rPr>
            </w:pPr>
          </w:p>
        </w:tc>
        <w:tc>
          <w:tcPr>
            <w:tcW w:w="1260" w:type="dxa"/>
            <w:tcBorders>
              <w:top w:val="nil"/>
              <w:left w:val="nil"/>
              <w:right w:val="nil"/>
            </w:tcBorders>
            <w:vAlign w:val="center"/>
          </w:tcPr>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c>
          <w:tcPr>
            <w:tcW w:w="327" w:type="dxa"/>
            <w:tcBorders>
              <w:top w:val="nil"/>
              <w:left w:val="nil"/>
              <w:right w:val="nil"/>
            </w:tcBorders>
          </w:tcPr>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293" w:type="dxa"/>
            <w:tcBorders>
              <w:top w:val="nil"/>
              <w:left w:val="nil"/>
              <w:right w:val="nil"/>
            </w:tcBorders>
            <w:noWrap/>
            <w:vAlign w:val="center"/>
          </w:tcPr>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c>
          <w:tcPr>
            <w:tcW w:w="574" w:type="dxa"/>
            <w:tcBorders>
              <w:top w:val="nil"/>
              <w:left w:val="nil"/>
              <w:right w:val="nil"/>
            </w:tcBorders>
            <w:vAlign w:val="center"/>
          </w:tcPr>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r>
      <w:tr w:rsidR="004B417C">
        <w:trPr>
          <w:trHeight w:val="284"/>
        </w:trPr>
        <w:tc>
          <w:tcPr>
            <w:tcW w:w="4320" w:type="dxa"/>
            <w:tcBorders>
              <w:top w:val="nil"/>
              <w:left w:val="nil"/>
              <w:bottom w:val="nil"/>
              <w:right w:val="nil"/>
            </w:tcBorders>
            <w:noWrap/>
            <w:vAlign w:val="center"/>
          </w:tcPr>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szCs w:val="22"/>
                <w:lang w:val="el-GR"/>
              </w:rPr>
            </w:pPr>
            <w:r>
              <w:rPr>
                <w:szCs w:val="22"/>
                <w:lang w:val="el-GR"/>
              </w:rPr>
              <w:t>Χρηματικά διαθέσιμα</w:t>
            </w:r>
          </w:p>
        </w:tc>
        <w:tc>
          <w:tcPr>
            <w:tcW w:w="1440" w:type="dxa"/>
            <w:tcBorders>
              <w:top w:val="nil"/>
              <w:left w:val="nil"/>
              <w:bottom w:val="nil"/>
              <w:right w:val="nil"/>
            </w:tcBorders>
            <w:noWrap/>
            <w:vAlign w:val="center"/>
          </w:tcPr>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b/>
                <w:bCs/>
                <w:szCs w:val="22"/>
                <w:lang w:val="el-GR"/>
              </w:rPr>
            </w:pPr>
            <w:r>
              <w:rPr>
                <w:b/>
                <w:bCs/>
                <w:szCs w:val="22"/>
                <w:lang w:val="el-GR"/>
              </w:rPr>
              <w:t>8</w:t>
            </w:r>
          </w:p>
        </w:tc>
        <w:tc>
          <w:tcPr>
            <w:tcW w:w="1260" w:type="dxa"/>
            <w:tcBorders>
              <w:top w:val="nil"/>
              <w:left w:val="nil"/>
              <w:right w:val="nil"/>
            </w:tcBorders>
            <w:vAlign w:val="center"/>
          </w:tcPr>
          <w:p w:rsidR="004B417C" w:rsidRPr="00E86456"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r>
              <w:rPr>
                <w:szCs w:val="22"/>
              </w:rPr>
              <w:t>22.</w:t>
            </w:r>
            <w:r>
              <w:rPr>
                <w:szCs w:val="22"/>
                <w:lang w:val="el-GR"/>
              </w:rPr>
              <w:t>472</w:t>
            </w:r>
          </w:p>
        </w:tc>
        <w:tc>
          <w:tcPr>
            <w:tcW w:w="327" w:type="dxa"/>
            <w:tcBorders>
              <w:top w:val="nil"/>
              <w:left w:val="nil"/>
              <w:right w:val="nil"/>
            </w:tcBorders>
          </w:tcPr>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293" w:type="dxa"/>
            <w:tcBorders>
              <w:top w:val="nil"/>
              <w:left w:val="nil"/>
              <w:right w:val="nil"/>
            </w:tcBorders>
            <w:noWrap/>
            <w:vAlign w:val="center"/>
          </w:tcPr>
          <w:p w:rsidR="004B417C" w:rsidRPr="00035705"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rPr>
            </w:pPr>
            <w:r>
              <w:rPr>
                <w:szCs w:val="22"/>
              </w:rPr>
              <w:t>102.501</w:t>
            </w:r>
          </w:p>
        </w:tc>
        <w:tc>
          <w:tcPr>
            <w:tcW w:w="574" w:type="dxa"/>
            <w:tcBorders>
              <w:top w:val="nil"/>
              <w:left w:val="nil"/>
              <w:bottom w:val="nil"/>
              <w:right w:val="nil"/>
            </w:tcBorders>
            <w:vAlign w:val="center"/>
          </w:tcPr>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r>
      <w:tr w:rsidR="004B417C">
        <w:trPr>
          <w:trHeight w:val="284"/>
        </w:trPr>
        <w:tc>
          <w:tcPr>
            <w:tcW w:w="4320" w:type="dxa"/>
            <w:tcBorders>
              <w:left w:val="nil"/>
              <w:bottom w:val="nil"/>
              <w:right w:val="nil"/>
            </w:tcBorders>
            <w:noWrap/>
            <w:vAlign w:val="center"/>
          </w:tcPr>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szCs w:val="22"/>
                <w:lang w:val="el-GR"/>
              </w:rPr>
            </w:pPr>
            <w:r>
              <w:rPr>
                <w:szCs w:val="22"/>
                <w:lang w:val="el-GR"/>
              </w:rPr>
              <w:t>Απαιτήσεις από χρηματοδοτικές μισθώσεις</w:t>
            </w:r>
          </w:p>
        </w:tc>
        <w:tc>
          <w:tcPr>
            <w:tcW w:w="1440" w:type="dxa"/>
            <w:tcBorders>
              <w:left w:val="nil"/>
              <w:bottom w:val="nil"/>
              <w:right w:val="nil"/>
            </w:tcBorders>
            <w:noWrap/>
            <w:vAlign w:val="center"/>
          </w:tcPr>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b/>
                <w:szCs w:val="22"/>
                <w:lang w:val="el-GR"/>
              </w:rPr>
            </w:pPr>
            <w:r>
              <w:rPr>
                <w:b/>
                <w:szCs w:val="22"/>
                <w:lang w:val="el-GR"/>
              </w:rPr>
              <w:t>9</w:t>
            </w:r>
          </w:p>
        </w:tc>
        <w:tc>
          <w:tcPr>
            <w:tcW w:w="1260" w:type="dxa"/>
            <w:tcBorders>
              <w:left w:val="nil"/>
              <w:right w:val="nil"/>
            </w:tcBorders>
            <w:vAlign w:val="center"/>
          </w:tcPr>
          <w:p w:rsidR="004B417C" w:rsidRPr="001F1CCD"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r>
              <w:rPr>
                <w:szCs w:val="22"/>
              </w:rPr>
              <w:t>176.9</w:t>
            </w:r>
            <w:r>
              <w:rPr>
                <w:szCs w:val="22"/>
                <w:lang w:val="el-GR"/>
              </w:rPr>
              <w:t>47</w:t>
            </w:r>
          </w:p>
        </w:tc>
        <w:tc>
          <w:tcPr>
            <w:tcW w:w="327" w:type="dxa"/>
            <w:tcBorders>
              <w:left w:val="nil"/>
              <w:right w:val="nil"/>
            </w:tcBorders>
          </w:tcPr>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293" w:type="dxa"/>
            <w:tcBorders>
              <w:left w:val="nil"/>
              <w:right w:val="nil"/>
            </w:tcBorders>
            <w:noWrap/>
            <w:vAlign w:val="center"/>
          </w:tcPr>
          <w:p w:rsidR="004B417C" w:rsidRPr="00F766D4" w:rsidRDefault="004B417C" w:rsidP="000759AE">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szCs w:val="22"/>
                <w:lang w:val="el-GR"/>
              </w:rPr>
            </w:pPr>
            <w:r>
              <w:rPr>
                <w:szCs w:val="22"/>
              </w:rPr>
              <w:t xml:space="preserve">      20</w:t>
            </w:r>
            <w:r w:rsidR="003E1A5D">
              <w:rPr>
                <w:szCs w:val="22"/>
                <w:lang w:val="el-GR"/>
              </w:rPr>
              <w:t>8</w:t>
            </w:r>
            <w:r>
              <w:rPr>
                <w:szCs w:val="22"/>
              </w:rPr>
              <w:t>.</w:t>
            </w:r>
            <w:r w:rsidR="003E1A5D">
              <w:rPr>
                <w:szCs w:val="22"/>
                <w:lang w:val="el-GR"/>
              </w:rPr>
              <w:t>396</w:t>
            </w:r>
          </w:p>
        </w:tc>
        <w:tc>
          <w:tcPr>
            <w:tcW w:w="574" w:type="dxa"/>
            <w:tcBorders>
              <w:left w:val="nil"/>
              <w:bottom w:val="nil"/>
              <w:right w:val="nil"/>
            </w:tcBorders>
            <w:vAlign w:val="center"/>
          </w:tcPr>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r>
      <w:tr w:rsidR="004B417C">
        <w:trPr>
          <w:trHeight w:val="284"/>
        </w:trPr>
        <w:tc>
          <w:tcPr>
            <w:tcW w:w="4320" w:type="dxa"/>
            <w:tcBorders>
              <w:left w:val="nil"/>
              <w:bottom w:val="nil"/>
              <w:right w:val="nil"/>
            </w:tcBorders>
            <w:noWrap/>
            <w:vAlign w:val="center"/>
          </w:tcPr>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szCs w:val="22"/>
                <w:lang w:val="el-GR"/>
              </w:rPr>
            </w:pPr>
            <w:r>
              <w:rPr>
                <w:szCs w:val="22"/>
                <w:lang w:val="el-GR"/>
              </w:rPr>
              <w:t>Χρεόγραφα διαθέσιμων προς πώληση επενδύσεων</w:t>
            </w:r>
          </w:p>
        </w:tc>
        <w:tc>
          <w:tcPr>
            <w:tcW w:w="1440" w:type="dxa"/>
            <w:tcBorders>
              <w:left w:val="nil"/>
              <w:bottom w:val="nil"/>
              <w:right w:val="nil"/>
            </w:tcBorders>
            <w:noWrap/>
            <w:vAlign w:val="center"/>
          </w:tcPr>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b/>
                <w:bCs/>
                <w:szCs w:val="22"/>
                <w:lang w:val="el-GR"/>
              </w:rPr>
            </w:pPr>
            <w:r>
              <w:rPr>
                <w:b/>
                <w:bCs/>
                <w:szCs w:val="22"/>
                <w:lang w:val="el-GR"/>
              </w:rPr>
              <w:t>10</w:t>
            </w:r>
          </w:p>
        </w:tc>
        <w:tc>
          <w:tcPr>
            <w:tcW w:w="1260" w:type="dxa"/>
            <w:tcBorders>
              <w:left w:val="nil"/>
              <w:right w:val="nil"/>
            </w:tcBorders>
            <w:vAlign w:val="center"/>
          </w:tcPr>
          <w:p w:rsidR="004B417C" w:rsidRPr="005867DD"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rPr>
            </w:pPr>
            <w:r>
              <w:rPr>
                <w:szCs w:val="22"/>
              </w:rPr>
              <w:t>392</w:t>
            </w:r>
          </w:p>
        </w:tc>
        <w:tc>
          <w:tcPr>
            <w:tcW w:w="327" w:type="dxa"/>
            <w:tcBorders>
              <w:left w:val="nil"/>
              <w:right w:val="nil"/>
            </w:tcBorders>
          </w:tcPr>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293" w:type="dxa"/>
            <w:tcBorders>
              <w:left w:val="nil"/>
              <w:right w:val="nil"/>
            </w:tcBorders>
            <w:noWrap/>
            <w:vAlign w:val="center"/>
          </w:tcPr>
          <w:p w:rsidR="004B417C" w:rsidRPr="00035705"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rPr>
            </w:pPr>
            <w:r>
              <w:rPr>
                <w:szCs w:val="22"/>
              </w:rPr>
              <w:t>379</w:t>
            </w:r>
          </w:p>
        </w:tc>
        <w:tc>
          <w:tcPr>
            <w:tcW w:w="574" w:type="dxa"/>
            <w:tcBorders>
              <w:left w:val="nil"/>
              <w:bottom w:val="nil"/>
              <w:right w:val="nil"/>
            </w:tcBorders>
            <w:vAlign w:val="center"/>
          </w:tcPr>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r>
      <w:tr w:rsidR="004B417C">
        <w:trPr>
          <w:trHeight w:val="284"/>
        </w:trPr>
        <w:tc>
          <w:tcPr>
            <w:tcW w:w="4320" w:type="dxa"/>
            <w:tcBorders>
              <w:left w:val="nil"/>
              <w:bottom w:val="nil"/>
              <w:right w:val="nil"/>
            </w:tcBorders>
            <w:noWrap/>
            <w:vAlign w:val="center"/>
          </w:tcPr>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szCs w:val="22"/>
                <w:lang w:val="el-GR"/>
              </w:rPr>
            </w:pPr>
            <w:r>
              <w:rPr>
                <w:szCs w:val="22"/>
                <w:lang w:val="el-GR"/>
              </w:rPr>
              <w:t>Συμμετοχές σε συνδεδεμένες επιχειρήσεις</w:t>
            </w:r>
          </w:p>
        </w:tc>
        <w:tc>
          <w:tcPr>
            <w:tcW w:w="1440" w:type="dxa"/>
            <w:tcBorders>
              <w:left w:val="nil"/>
              <w:bottom w:val="nil"/>
              <w:right w:val="nil"/>
            </w:tcBorders>
            <w:noWrap/>
            <w:vAlign w:val="center"/>
          </w:tcPr>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b/>
                <w:bCs/>
                <w:szCs w:val="22"/>
                <w:lang w:val="el-GR"/>
              </w:rPr>
            </w:pPr>
            <w:r>
              <w:rPr>
                <w:b/>
                <w:bCs/>
                <w:szCs w:val="22"/>
                <w:lang w:val="el-GR"/>
              </w:rPr>
              <w:t>11</w:t>
            </w:r>
          </w:p>
        </w:tc>
        <w:tc>
          <w:tcPr>
            <w:tcW w:w="1260" w:type="dxa"/>
            <w:tcBorders>
              <w:left w:val="nil"/>
              <w:right w:val="nil"/>
            </w:tcBorders>
            <w:vAlign w:val="center"/>
          </w:tcPr>
          <w:p w:rsidR="004B417C" w:rsidRPr="005867DD"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rPr>
            </w:pPr>
            <w:r>
              <w:rPr>
                <w:szCs w:val="22"/>
              </w:rPr>
              <w:t>1.000</w:t>
            </w:r>
          </w:p>
        </w:tc>
        <w:tc>
          <w:tcPr>
            <w:tcW w:w="327" w:type="dxa"/>
            <w:tcBorders>
              <w:left w:val="nil"/>
              <w:right w:val="nil"/>
            </w:tcBorders>
          </w:tcPr>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293" w:type="dxa"/>
            <w:tcBorders>
              <w:left w:val="nil"/>
              <w:right w:val="nil"/>
            </w:tcBorders>
            <w:noWrap/>
            <w:vAlign w:val="center"/>
          </w:tcPr>
          <w:p w:rsidR="004B417C" w:rsidRPr="000759AE"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r>
              <w:rPr>
                <w:szCs w:val="22"/>
                <w:lang w:val="el-GR"/>
              </w:rPr>
              <w:t>1.000</w:t>
            </w:r>
          </w:p>
        </w:tc>
        <w:tc>
          <w:tcPr>
            <w:tcW w:w="574" w:type="dxa"/>
            <w:tcBorders>
              <w:left w:val="nil"/>
              <w:bottom w:val="nil"/>
              <w:right w:val="nil"/>
            </w:tcBorders>
            <w:vAlign w:val="center"/>
          </w:tcPr>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r>
      <w:tr w:rsidR="004B417C">
        <w:trPr>
          <w:trHeight w:val="284"/>
        </w:trPr>
        <w:tc>
          <w:tcPr>
            <w:tcW w:w="4320" w:type="dxa"/>
            <w:tcBorders>
              <w:top w:val="nil"/>
              <w:left w:val="nil"/>
              <w:right w:val="nil"/>
            </w:tcBorders>
            <w:noWrap/>
            <w:vAlign w:val="center"/>
          </w:tcPr>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szCs w:val="22"/>
                <w:lang w:val="el-GR"/>
              </w:rPr>
            </w:pPr>
            <w:r>
              <w:rPr>
                <w:szCs w:val="22"/>
                <w:lang w:val="el-GR"/>
              </w:rPr>
              <w:t>Ενσώματες ακινητοποιήσεις</w:t>
            </w:r>
          </w:p>
        </w:tc>
        <w:tc>
          <w:tcPr>
            <w:tcW w:w="1440" w:type="dxa"/>
            <w:tcBorders>
              <w:top w:val="nil"/>
              <w:left w:val="nil"/>
              <w:right w:val="nil"/>
            </w:tcBorders>
            <w:noWrap/>
            <w:vAlign w:val="center"/>
          </w:tcPr>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b/>
                <w:bCs/>
                <w:szCs w:val="22"/>
                <w:lang w:val="el-GR"/>
              </w:rPr>
            </w:pPr>
            <w:r>
              <w:rPr>
                <w:b/>
                <w:bCs/>
                <w:szCs w:val="22"/>
                <w:lang w:val="el-GR"/>
              </w:rPr>
              <w:t>12</w:t>
            </w:r>
          </w:p>
        </w:tc>
        <w:tc>
          <w:tcPr>
            <w:tcW w:w="1260" w:type="dxa"/>
            <w:tcBorders>
              <w:top w:val="nil"/>
              <w:left w:val="nil"/>
              <w:right w:val="nil"/>
            </w:tcBorders>
            <w:vAlign w:val="center"/>
          </w:tcPr>
          <w:p w:rsidR="004B417C" w:rsidRPr="005867DD"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rPr>
            </w:pPr>
            <w:r>
              <w:rPr>
                <w:szCs w:val="22"/>
              </w:rPr>
              <w:t>952</w:t>
            </w:r>
          </w:p>
        </w:tc>
        <w:tc>
          <w:tcPr>
            <w:tcW w:w="327" w:type="dxa"/>
            <w:tcBorders>
              <w:top w:val="nil"/>
              <w:left w:val="nil"/>
              <w:right w:val="nil"/>
            </w:tcBorders>
          </w:tcPr>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293" w:type="dxa"/>
            <w:tcBorders>
              <w:top w:val="nil"/>
              <w:left w:val="nil"/>
              <w:right w:val="nil"/>
            </w:tcBorders>
            <w:noWrap/>
            <w:vAlign w:val="center"/>
          </w:tcPr>
          <w:p w:rsidR="004B417C" w:rsidRPr="00035705"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rPr>
            </w:pPr>
            <w:r>
              <w:rPr>
                <w:szCs w:val="22"/>
              </w:rPr>
              <w:t>3.394</w:t>
            </w:r>
          </w:p>
        </w:tc>
        <w:tc>
          <w:tcPr>
            <w:tcW w:w="574" w:type="dxa"/>
            <w:tcBorders>
              <w:top w:val="nil"/>
              <w:left w:val="nil"/>
              <w:right w:val="nil"/>
            </w:tcBorders>
            <w:vAlign w:val="center"/>
          </w:tcPr>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r>
      <w:tr w:rsidR="004B417C" w:rsidRPr="00364398">
        <w:trPr>
          <w:trHeight w:hRule="exact" w:val="227"/>
        </w:trPr>
        <w:tc>
          <w:tcPr>
            <w:tcW w:w="4320" w:type="dxa"/>
            <w:tcBorders>
              <w:left w:val="nil"/>
              <w:bottom w:val="nil"/>
              <w:right w:val="nil"/>
            </w:tcBorders>
            <w:noWrap/>
            <w:vAlign w:val="center"/>
          </w:tcPr>
          <w:p w:rsidR="004B417C" w:rsidRDefault="004B417C" w:rsidP="00ED676F">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szCs w:val="22"/>
                <w:lang w:val="el-GR"/>
              </w:rPr>
            </w:pPr>
            <w:r>
              <w:rPr>
                <w:szCs w:val="22"/>
                <w:lang w:val="el-GR"/>
              </w:rPr>
              <w:t>Επενδύσεις σε ακίνητα</w:t>
            </w:r>
          </w:p>
        </w:tc>
        <w:tc>
          <w:tcPr>
            <w:tcW w:w="1440" w:type="dxa"/>
            <w:tcBorders>
              <w:left w:val="nil"/>
              <w:bottom w:val="nil"/>
              <w:right w:val="nil"/>
            </w:tcBorders>
            <w:noWrap/>
            <w:vAlign w:val="center"/>
          </w:tcPr>
          <w:p w:rsidR="004B417C" w:rsidRPr="00B428CE" w:rsidRDefault="004B417C" w:rsidP="00ED676F">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b/>
                <w:szCs w:val="22"/>
                <w:lang w:val="el-GR"/>
              </w:rPr>
            </w:pPr>
            <w:r>
              <w:rPr>
                <w:b/>
                <w:szCs w:val="22"/>
                <w:lang w:val="el-GR"/>
              </w:rPr>
              <w:t>13</w:t>
            </w:r>
          </w:p>
        </w:tc>
        <w:tc>
          <w:tcPr>
            <w:tcW w:w="1260" w:type="dxa"/>
            <w:tcBorders>
              <w:left w:val="nil"/>
              <w:right w:val="nil"/>
            </w:tcBorders>
            <w:vAlign w:val="center"/>
          </w:tcPr>
          <w:p w:rsidR="004B417C" w:rsidRPr="00847FA3" w:rsidRDefault="004B417C" w:rsidP="00ED676F">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r w:rsidRPr="000D5542">
              <w:rPr>
                <w:szCs w:val="22"/>
                <w:lang w:val="el-GR"/>
              </w:rPr>
              <w:t>59</w:t>
            </w:r>
            <w:r w:rsidRPr="000D5542">
              <w:rPr>
                <w:szCs w:val="22"/>
              </w:rPr>
              <w:t>.</w:t>
            </w:r>
            <w:r w:rsidRPr="000D5542">
              <w:rPr>
                <w:szCs w:val="22"/>
                <w:lang w:val="el-GR"/>
              </w:rPr>
              <w:t>939</w:t>
            </w:r>
          </w:p>
        </w:tc>
        <w:tc>
          <w:tcPr>
            <w:tcW w:w="327" w:type="dxa"/>
            <w:tcBorders>
              <w:left w:val="nil"/>
              <w:right w:val="nil"/>
            </w:tcBorders>
          </w:tcPr>
          <w:p w:rsidR="004B417C" w:rsidRDefault="004B417C" w:rsidP="00ED676F">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293" w:type="dxa"/>
            <w:tcBorders>
              <w:left w:val="nil"/>
              <w:right w:val="nil"/>
            </w:tcBorders>
            <w:noWrap/>
            <w:vAlign w:val="center"/>
          </w:tcPr>
          <w:p w:rsidR="004B417C" w:rsidRPr="00035705" w:rsidRDefault="004B417C" w:rsidP="00ED676F">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rPr>
            </w:pPr>
            <w:r>
              <w:rPr>
                <w:szCs w:val="22"/>
              </w:rPr>
              <w:t>58.124</w:t>
            </w:r>
          </w:p>
        </w:tc>
        <w:tc>
          <w:tcPr>
            <w:tcW w:w="574" w:type="dxa"/>
            <w:tcBorders>
              <w:left w:val="nil"/>
              <w:bottom w:val="nil"/>
              <w:right w:val="nil"/>
            </w:tcBorders>
            <w:vAlign w:val="center"/>
          </w:tcPr>
          <w:p w:rsidR="004B417C" w:rsidRDefault="004B417C" w:rsidP="00ED676F">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r>
      <w:tr w:rsidR="004B417C">
        <w:trPr>
          <w:trHeight w:val="284"/>
        </w:trPr>
        <w:tc>
          <w:tcPr>
            <w:tcW w:w="4320" w:type="dxa"/>
            <w:tcBorders>
              <w:left w:val="nil"/>
              <w:bottom w:val="nil"/>
              <w:right w:val="nil"/>
            </w:tcBorders>
            <w:noWrap/>
            <w:vAlign w:val="center"/>
          </w:tcPr>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szCs w:val="22"/>
                <w:lang w:val="el-GR"/>
              </w:rPr>
            </w:pPr>
            <w:r>
              <w:rPr>
                <w:szCs w:val="22"/>
                <w:lang w:val="el-GR"/>
              </w:rPr>
              <w:t>Άϋλα περιουσιακά στοιχεία</w:t>
            </w:r>
          </w:p>
        </w:tc>
        <w:tc>
          <w:tcPr>
            <w:tcW w:w="1440" w:type="dxa"/>
            <w:tcBorders>
              <w:left w:val="nil"/>
              <w:bottom w:val="nil"/>
              <w:right w:val="nil"/>
            </w:tcBorders>
            <w:noWrap/>
            <w:vAlign w:val="center"/>
          </w:tcPr>
          <w:p w:rsidR="004B417C" w:rsidRPr="007967BE" w:rsidRDefault="004B417C" w:rsidP="00EA6C7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rPr>
                <w:b/>
                <w:szCs w:val="22"/>
                <w:highlight w:val="yellow"/>
                <w:lang w:val="el-GR"/>
              </w:rPr>
            </w:pPr>
          </w:p>
        </w:tc>
        <w:tc>
          <w:tcPr>
            <w:tcW w:w="1260" w:type="dxa"/>
            <w:tcBorders>
              <w:left w:val="nil"/>
              <w:bottom w:val="nil"/>
              <w:right w:val="nil"/>
            </w:tcBorders>
            <w:vAlign w:val="center"/>
          </w:tcPr>
          <w:p w:rsidR="004B417C" w:rsidRPr="005867DD" w:rsidRDefault="004B417C" w:rsidP="00B76B62">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rPr>
            </w:pPr>
            <w:r>
              <w:rPr>
                <w:szCs w:val="22"/>
              </w:rPr>
              <w:t>31</w:t>
            </w:r>
          </w:p>
        </w:tc>
        <w:tc>
          <w:tcPr>
            <w:tcW w:w="327" w:type="dxa"/>
            <w:tcBorders>
              <w:left w:val="nil"/>
              <w:bottom w:val="nil"/>
              <w:right w:val="nil"/>
            </w:tcBorders>
          </w:tcPr>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293" w:type="dxa"/>
            <w:tcBorders>
              <w:left w:val="nil"/>
              <w:bottom w:val="nil"/>
              <w:right w:val="nil"/>
            </w:tcBorders>
            <w:noWrap/>
            <w:vAlign w:val="center"/>
          </w:tcPr>
          <w:p w:rsidR="004B417C" w:rsidRPr="00035705"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rPr>
            </w:pPr>
            <w:r>
              <w:rPr>
                <w:szCs w:val="22"/>
              </w:rPr>
              <w:t>40</w:t>
            </w:r>
          </w:p>
        </w:tc>
        <w:tc>
          <w:tcPr>
            <w:tcW w:w="574" w:type="dxa"/>
            <w:tcBorders>
              <w:left w:val="nil"/>
              <w:bottom w:val="nil"/>
              <w:right w:val="nil"/>
            </w:tcBorders>
            <w:vAlign w:val="center"/>
          </w:tcPr>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r>
      <w:tr w:rsidR="004B417C">
        <w:trPr>
          <w:trHeight w:val="284"/>
        </w:trPr>
        <w:tc>
          <w:tcPr>
            <w:tcW w:w="4320" w:type="dxa"/>
            <w:tcBorders>
              <w:left w:val="nil"/>
              <w:right w:val="nil"/>
            </w:tcBorders>
            <w:noWrap/>
            <w:vAlign w:val="center"/>
          </w:tcPr>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szCs w:val="22"/>
                <w:lang w:val="el-GR"/>
              </w:rPr>
            </w:pPr>
            <w:r>
              <w:rPr>
                <w:szCs w:val="22"/>
                <w:lang w:val="el-GR"/>
              </w:rPr>
              <w:t>Λοιπές απαιτήσεις</w:t>
            </w:r>
          </w:p>
        </w:tc>
        <w:tc>
          <w:tcPr>
            <w:tcW w:w="1440" w:type="dxa"/>
            <w:tcBorders>
              <w:left w:val="nil"/>
              <w:right w:val="nil"/>
            </w:tcBorders>
            <w:noWrap/>
            <w:vAlign w:val="center"/>
          </w:tcPr>
          <w:p w:rsidR="004B417C" w:rsidRPr="00EA6C78" w:rsidRDefault="004B417C" w:rsidP="007967BE">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b/>
                <w:bCs/>
                <w:szCs w:val="22"/>
                <w:lang w:val="el-GR"/>
              </w:rPr>
            </w:pPr>
            <w:r w:rsidRPr="00EA6C78">
              <w:rPr>
                <w:b/>
                <w:bCs/>
                <w:szCs w:val="22"/>
                <w:lang w:val="el-GR"/>
              </w:rPr>
              <w:t>1</w:t>
            </w:r>
            <w:r>
              <w:rPr>
                <w:b/>
                <w:bCs/>
                <w:szCs w:val="22"/>
                <w:lang w:val="el-GR"/>
              </w:rPr>
              <w:t>4</w:t>
            </w:r>
          </w:p>
        </w:tc>
        <w:tc>
          <w:tcPr>
            <w:tcW w:w="1260" w:type="dxa"/>
            <w:tcBorders>
              <w:left w:val="nil"/>
              <w:right w:val="nil"/>
            </w:tcBorders>
            <w:vAlign w:val="center"/>
          </w:tcPr>
          <w:p w:rsidR="004B417C" w:rsidRPr="001F1CCD"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r>
              <w:rPr>
                <w:szCs w:val="22"/>
                <w:lang w:val="el-GR"/>
              </w:rPr>
              <w:t>14.656</w:t>
            </w:r>
          </w:p>
        </w:tc>
        <w:tc>
          <w:tcPr>
            <w:tcW w:w="327" w:type="dxa"/>
            <w:tcBorders>
              <w:left w:val="nil"/>
              <w:right w:val="nil"/>
            </w:tcBorders>
          </w:tcPr>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293" w:type="dxa"/>
            <w:tcBorders>
              <w:left w:val="nil"/>
              <w:right w:val="nil"/>
            </w:tcBorders>
            <w:noWrap/>
            <w:vAlign w:val="center"/>
          </w:tcPr>
          <w:p w:rsidR="004B417C" w:rsidRPr="00F766D4" w:rsidRDefault="00DB632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r>
              <w:rPr>
                <w:szCs w:val="22"/>
                <w:lang w:val="el-GR"/>
              </w:rPr>
              <w:t>4.074</w:t>
            </w:r>
          </w:p>
        </w:tc>
        <w:tc>
          <w:tcPr>
            <w:tcW w:w="574" w:type="dxa"/>
            <w:tcBorders>
              <w:left w:val="nil"/>
              <w:right w:val="nil"/>
            </w:tcBorders>
            <w:vAlign w:val="center"/>
          </w:tcPr>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r>
      <w:tr w:rsidR="004B417C" w:rsidRPr="00364398">
        <w:trPr>
          <w:trHeight w:val="284"/>
        </w:trPr>
        <w:tc>
          <w:tcPr>
            <w:tcW w:w="4320" w:type="dxa"/>
            <w:tcBorders>
              <w:left w:val="nil"/>
              <w:bottom w:val="nil"/>
              <w:right w:val="nil"/>
            </w:tcBorders>
            <w:noWrap/>
            <w:vAlign w:val="center"/>
          </w:tcPr>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b/>
                <w:szCs w:val="22"/>
                <w:lang w:val="el-GR"/>
              </w:rPr>
            </w:pPr>
            <w:r>
              <w:rPr>
                <w:b/>
                <w:szCs w:val="22"/>
                <w:lang w:val="el-GR"/>
              </w:rPr>
              <w:t>ΣΥΝΟΛΟ ΕΝΕΡΓΗΤΙΚΟΥ</w:t>
            </w:r>
          </w:p>
        </w:tc>
        <w:tc>
          <w:tcPr>
            <w:tcW w:w="1440" w:type="dxa"/>
            <w:tcBorders>
              <w:left w:val="nil"/>
              <w:bottom w:val="nil"/>
              <w:right w:val="nil"/>
            </w:tcBorders>
            <w:noWrap/>
            <w:vAlign w:val="center"/>
          </w:tcPr>
          <w:p w:rsidR="004B417C" w:rsidRPr="00EA6C78"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szCs w:val="22"/>
                <w:lang w:val="el-GR"/>
              </w:rPr>
            </w:pPr>
          </w:p>
        </w:tc>
        <w:tc>
          <w:tcPr>
            <w:tcW w:w="1260" w:type="dxa"/>
            <w:tcBorders>
              <w:top w:val="single" w:sz="4" w:space="0" w:color="auto"/>
              <w:left w:val="nil"/>
              <w:bottom w:val="double" w:sz="4" w:space="0" w:color="auto"/>
              <w:right w:val="nil"/>
            </w:tcBorders>
            <w:vAlign w:val="center"/>
          </w:tcPr>
          <w:p w:rsidR="004B417C" w:rsidRPr="00634740"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Cs w:val="22"/>
                <w:lang w:val="el-GR"/>
              </w:rPr>
            </w:pPr>
            <w:r>
              <w:rPr>
                <w:b/>
                <w:szCs w:val="22"/>
              </w:rPr>
              <w:t>2</w:t>
            </w:r>
            <w:r>
              <w:rPr>
                <w:b/>
                <w:szCs w:val="22"/>
                <w:lang w:val="el-GR"/>
              </w:rPr>
              <w:t>76</w:t>
            </w:r>
            <w:r>
              <w:rPr>
                <w:b/>
                <w:szCs w:val="22"/>
              </w:rPr>
              <w:t>.</w:t>
            </w:r>
            <w:r>
              <w:rPr>
                <w:b/>
                <w:szCs w:val="22"/>
                <w:lang w:val="el-GR"/>
              </w:rPr>
              <w:t>389</w:t>
            </w:r>
          </w:p>
        </w:tc>
        <w:tc>
          <w:tcPr>
            <w:tcW w:w="327" w:type="dxa"/>
            <w:tcBorders>
              <w:left w:val="nil"/>
              <w:bottom w:val="nil"/>
              <w:right w:val="nil"/>
            </w:tcBorders>
          </w:tcPr>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293" w:type="dxa"/>
            <w:tcBorders>
              <w:top w:val="single" w:sz="4" w:space="0" w:color="auto"/>
              <w:left w:val="nil"/>
              <w:bottom w:val="double" w:sz="4" w:space="0" w:color="auto"/>
              <w:right w:val="nil"/>
            </w:tcBorders>
            <w:noWrap/>
            <w:vAlign w:val="center"/>
          </w:tcPr>
          <w:p w:rsidR="004B417C" w:rsidRPr="00D677D8"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Cs w:val="22"/>
                <w:lang w:val="el-GR"/>
              </w:rPr>
            </w:pPr>
            <w:r>
              <w:rPr>
                <w:b/>
                <w:szCs w:val="22"/>
              </w:rPr>
              <w:t>3</w:t>
            </w:r>
            <w:r>
              <w:rPr>
                <w:b/>
                <w:szCs w:val="22"/>
                <w:lang w:val="el-GR"/>
              </w:rPr>
              <w:t>77</w:t>
            </w:r>
            <w:r>
              <w:rPr>
                <w:b/>
                <w:szCs w:val="22"/>
              </w:rPr>
              <w:t>.8</w:t>
            </w:r>
            <w:r>
              <w:rPr>
                <w:b/>
                <w:szCs w:val="22"/>
                <w:lang w:val="el-GR"/>
              </w:rPr>
              <w:t>63</w:t>
            </w:r>
          </w:p>
        </w:tc>
        <w:tc>
          <w:tcPr>
            <w:tcW w:w="574" w:type="dxa"/>
            <w:tcBorders>
              <w:left w:val="nil"/>
              <w:bottom w:val="nil"/>
              <w:right w:val="nil"/>
            </w:tcBorders>
            <w:vAlign w:val="center"/>
          </w:tcPr>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r>
      <w:tr w:rsidR="004B417C">
        <w:trPr>
          <w:trHeight w:hRule="exact" w:val="113"/>
        </w:trPr>
        <w:tc>
          <w:tcPr>
            <w:tcW w:w="4320" w:type="dxa"/>
            <w:tcBorders>
              <w:top w:val="nil"/>
              <w:left w:val="nil"/>
              <w:right w:val="nil"/>
            </w:tcBorders>
            <w:noWrap/>
            <w:vAlign w:val="center"/>
          </w:tcPr>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ind w:firstLine="252"/>
              <w:rPr>
                <w:b/>
                <w:szCs w:val="22"/>
                <w:lang w:val="el-GR"/>
              </w:rPr>
            </w:pPr>
          </w:p>
        </w:tc>
        <w:tc>
          <w:tcPr>
            <w:tcW w:w="1440" w:type="dxa"/>
            <w:tcBorders>
              <w:top w:val="nil"/>
              <w:left w:val="nil"/>
              <w:right w:val="nil"/>
            </w:tcBorders>
            <w:noWrap/>
            <w:vAlign w:val="center"/>
          </w:tcPr>
          <w:p w:rsidR="004B417C" w:rsidRPr="00EA6C78"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szCs w:val="22"/>
                <w:lang w:val="el-GR"/>
              </w:rPr>
            </w:pPr>
          </w:p>
        </w:tc>
        <w:tc>
          <w:tcPr>
            <w:tcW w:w="1260" w:type="dxa"/>
            <w:tcBorders>
              <w:top w:val="double" w:sz="4" w:space="0" w:color="auto"/>
              <w:left w:val="nil"/>
              <w:right w:val="nil"/>
            </w:tcBorders>
            <w:vAlign w:val="center"/>
          </w:tcPr>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c>
          <w:tcPr>
            <w:tcW w:w="327" w:type="dxa"/>
            <w:tcBorders>
              <w:top w:val="nil"/>
              <w:left w:val="nil"/>
              <w:right w:val="nil"/>
            </w:tcBorders>
          </w:tcPr>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293" w:type="dxa"/>
            <w:tcBorders>
              <w:top w:val="double" w:sz="4" w:space="0" w:color="auto"/>
              <w:left w:val="nil"/>
              <w:right w:val="nil"/>
            </w:tcBorders>
            <w:noWrap/>
            <w:vAlign w:val="center"/>
          </w:tcPr>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c>
          <w:tcPr>
            <w:tcW w:w="574" w:type="dxa"/>
            <w:tcBorders>
              <w:top w:val="nil"/>
              <w:left w:val="nil"/>
              <w:right w:val="nil"/>
            </w:tcBorders>
            <w:vAlign w:val="center"/>
          </w:tcPr>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r>
      <w:tr w:rsidR="004B417C" w:rsidRPr="00364398">
        <w:trPr>
          <w:trHeight w:val="284"/>
        </w:trPr>
        <w:tc>
          <w:tcPr>
            <w:tcW w:w="4320" w:type="dxa"/>
            <w:tcBorders>
              <w:left w:val="nil"/>
              <w:right w:val="nil"/>
            </w:tcBorders>
            <w:noWrap/>
            <w:vAlign w:val="center"/>
          </w:tcPr>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b/>
                <w:szCs w:val="22"/>
                <w:u w:val="single"/>
                <w:lang w:val="el-GR"/>
              </w:rPr>
            </w:pPr>
          </w:p>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b/>
                <w:szCs w:val="22"/>
                <w:u w:val="single"/>
                <w:lang w:val="el-GR"/>
              </w:rPr>
            </w:pPr>
            <w:r>
              <w:rPr>
                <w:b/>
                <w:szCs w:val="22"/>
                <w:u w:val="single"/>
                <w:lang w:val="el-GR"/>
              </w:rPr>
              <w:t>ΠΑΘΗΤΙΚΟ</w:t>
            </w:r>
          </w:p>
        </w:tc>
        <w:tc>
          <w:tcPr>
            <w:tcW w:w="1440" w:type="dxa"/>
            <w:tcBorders>
              <w:left w:val="nil"/>
              <w:right w:val="nil"/>
            </w:tcBorders>
            <w:noWrap/>
            <w:vAlign w:val="center"/>
          </w:tcPr>
          <w:p w:rsidR="004B417C" w:rsidRPr="00EA6C78"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szCs w:val="22"/>
                <w:lang w:val="el-GR"/>
              </w:rPr>
            </w:pPr>
          </w:p>
        </w:tc>
        <w:tc>
          <w:tcPr>
            <w:tcW w:w="1260" w:type="dxa"/>
            <w:tcBorders>
              <w:left w:val="nil"/>
              <w:right w:val="nil"/>
            </w:tcBorders>
            <w:vAlign w:val="center"/>
          </w:tcPr>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c>
          <w:tcPr>
            <w:tcW w:w="327" w:type="dxa"/>
            <w:tcBorders>
              <w:left w:val="nil"/>
              <w:right w:val="nil"/>
            </w:tcBorders>
          </w:tcPr>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293" w:type="dxa"/>
            <w:tcBorders>
              <w:left w:val="nil"/>
              <w:right w:val="nil"/>
            </w:tcBorders>
            <w:noWrap/>
            <w:vAlign w:val="center"/>
          </w:tcPr>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c>
          <w:tcPr>
            <w:tcW w:w="574" w:type="dxa"/>
            <w:tcBorders>
              <w:left w:val="nil"/>
              <w:right w:val="nil"/>
            </w:tcBorders>
            <w:vAlign w:val="center"/>
          </w:tcPr>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r>
      <w:tr w:rsidR="004B417C">
        <w:trPr>
          <w:trHeight w:hRule="exact" w:val="113"/>
        </w:trPr>
        <w:tc>
          <w:tcPr>
            <w:tcW w:w="4320" w:type="dxa"/>
            <w:tcBorders>
              <w:left w:val="nil"/>
              <w:right w:val="nil"/>
            </w:tcBorders>
            <w:noWrap/>
            <w:vAlign w:val="center"/>
          </w:tcPr>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szCs w:val="22"/>
                <w:lang w:val="el-GR"/>
              </w:rPr>
            </w:pPr>
          </w:p>
        </w:tc>
        <w:tc>
          <w:tcPr>
            <w:tcW w:w="1440" w:type="dxa"/>
            <w:tcBorders>
              <w:left w:val="nil"/>
              <w:right w:val="nil"/>
            </w:tcBorders>
            <w:noWrap/>
            <w:vAlign w:val="center"/>
          </w:tcPr>
          <w:p w:rsidR="004B417C" w:rsidRPr="00EA6C78"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szCs w:val="22"/>
              </w:rPr>
            </w:pPr>
          </w:p>
        </w:tc>
        <w:tc>
          <w:tcPr>
            <w:tcW w:w="1260" w:type="dxa"/>
            <w:tcBorders>
              <w:left w:val="nil"/>
              <w:right w:val="nil"/>
            </w:tcBorders>
            <w:vAlign w:val="center"/>
          </w:tcPr>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c>
          <w:tcPr>
            <w:tcW w:w="327" w:type="dxa"/>
            <w:tcBorders>
              <w:left w:val="nil"/>
              <w:right w:val="nil"/>
            </w:tcBorders>
          </w:tcPr>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293" w:type="dxa"/>
            <w:tcBorders>
              <w:left w:val="nil"/>
              <w:right w:val="nil"/>
            </w:tcBorders>
            <w:noWrap/>
            <w:vAlign w:val="center"/>
          </w:tcPr>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c>
          <w:tcPr>
            <w:tcW w:w="574" w:type="dxa"/>
            <w:tcBorders>
              <w:left w:val="nil"/>
              <w:right w:val="nil"/>
            </w:tcBorders>
            <w:vAlign w:val="center"/>
          </w:tcPr>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r>
      <w:tr w:rsidR="004B417C">
        <w:trPr>
          <w:trHeight w:val="284"/>
        </w:trPr>
        <w:tc>
          <w:tcPr>
            <w:tcW w:w="4320" w:type="dxa"/>
            <w:tcBorders>
              <w:left w:val="nil"/>
              <w:right w:val="nil"/>
            </w:tcBorders>
            <w:noWrap/>
            <w:vAlign w:val="center"/>
          </w:tcPr>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szCs w:val="22"/>
                <w:lang w:val="el-GR"/>
              </w:rPr>
            </w:pPr>
            <w:r>
              <w:rPr>
                <w:szCs w:val="22"/>
                <w:lang w:val="el-GR"/>
              </w:rPr>
              <w:t>Ομολογιακά Δάνεια</w:t>
            </w:r>
          </w:p>
        </w:tc>
        <w:tc>
          <w:tcPr>
            <w:tcW w:w="1440" w:type="dxa"/>
            <w:tcBorders>
              <w:left w:val="nil"/>
              <w:right w:val="nil"/>
            </w:tcBorders>
            <w:noWrap/>
            <w:vAlign w:val="center"/>
          </w:tcPr>
          <w:p w:rsidR="004B417C" w:rsidRPr="00001A15"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b/>
                <w:szCs w:val="22"/>
                <w:lang w:val="el-GR"/>
              </w:rPr>
            </w:pPr>
            <w:r>
              <w:rPr>
                <w:b/>
                <w:szCs w:val="22"/>
                <w:lang w:val="el-GR"/>
              </w:rPr>
              <w:t>15</w:t>
            </w:r>
          </w:p>
        </w:tc>
        <w:tc>
          <w:tcPr>
            <w:tcW w:w="1260" w:type="dxa"/>
            <w:tcBorders>
              <w:left w:val="nil"/>
              <w:right w:val="nil"/>
            </w:tcBorders>
            <w:vAlign w:val="center"/>
          </w:tcPr>
          <w:p w:rsidR="004B417C" w:rsidRPr="005867DD" w:rsidRDefault="004B417C" w:rsidP="008B34B5">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szCs w:val="22"/>
              </w:rPr>
            </w:pPr>
            <w:r>
              <w:rPr>
                <w:szCs w:val="22"/>
              </w:rPr>
              <w:t xml:space="preserve">     386.489</w:t>
            </w:r>
          </w:p>
        </w:tc>
        <w:tc>
          <w:tcPr>
            <w:tcW w:w="327" w:type="dxa"/>
            <w:tcBorders>
              <w:left w:val="nil"/>
              <w:right w:val="nil"/>
            </w:tcBorders>
          </w:tcPr>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293" w:type="dxa"/>
            <w:tcBorders>
              <w:left w:val="nil"/>
              <w:right w:val="nil"/>
            </w:tcBorders>
            <w:noWrap/>
            <w:vAlign w:val="center"/>
          </w:tcPr>
          <w:p w:rsidR="004B417C" w:rsidRPr="00035705"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rPr>
            </w:pPr>
            <w:r>
              <w:rPr>
                <w:szCs w:val="22"/>
              </w:rPr>
              <w:t>430.626</w:t>
            </w:r>
          </w:p>
        </w:tc>
        <w:tc>
          <w:tcPr>
            <w:tcW w:w="574" w:type="dxa"/>
            <w:tcBorders>
              <w:left w:val="nil"/>
              <w:right w:val="nil"/>
            </w:tcBorders>
            <w:vAlign w:val="center"/>
          </w:tcPr>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r>
      <w:tr w:rsidR="004B417C">
        <w:trPr>
          <w:trHeight w:val="284"/>
        </w:trPr>
        <w:tc>
          <w:tcPr>
            <w:tcW w:w="4320" w:type="dxa"/>
            <w:tcBorders>
              <w:left w:val="nil"/>
              <w:right w:val="nil"/>
            </w:tcBorders>
            <w:noWrap/>
            <w:vAlign w:val="center"/>
          </w:tcPr>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szCs w:val="22"/>
                <w:lang w:val="el-GR"/>
              </w:rPr>
            </w:pPr>
            <w:r>
              <w:rPr>
                <w:szCs w:val="22"/>
                <w:lang w:val="el-GR"/>
              </w:rPr>
              <w:t>Πρόβλεψη αποζημίωσης προσωπικού</w:t>
            </w:r>
          </w:p>
        </w:tc>
        <w:tc>
          <w:tcPr>
            <w:tcW w:w="1440" w:type="dxa"/>
            <w:tcBorders>
              <w:left w:val="nil"/>
              <w:right w:val="nil"/>
            </w:tcBorders>
            <w:noWrap/>
            <w:vAlign w:val="center"/>
          </w:tcPr>
          <w:p w:rsidR="004B417C" w:rsidRPr="00001A15"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b/>
                <w:bCs/>
                <w:szCs w:val="22"/>
                <w:lang w:val="el-GR"/>
              </w:rPr>
            </w:pPr>
          </w:p>
        </w:tc>
        <w:tc>
          <w:tcPr>
            <w:tcW w:w="1260" w:type="dxa"/>
            <w:tcBorders>
              <w:left w:val="nil"/>
              <w:right w:val="nil"/>
            </w:tcBorders>
            <w:vAlign w:val="center"/>
          </w:tcPr>
          <w:p w:rsidR="004B417C" w:rsidRPr="000F5C07"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r>
              <w:rPr>
                <w:szCs w:val="22"/>
                <w:lang w:val="el-GR"/>
              </w:rPr>
              <w:t>525</w:t>
            </w:r>
          </w:p>
        </w:tc>
        <w:tc>
          <w:tcPr>
            <w:tcW w:w="327" w:type="dxa"/>
            <w:tcBorders>
              <w:left w:val="nil"/>
              <w:right w:val="nil"/>
            </w:tcBorders>
          </w:tcPr>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293" w:type="dxa"/>
            <w:tcBorders>
              <w:left w:val="nil"/>
              <w:right w:val="nil"/>
            </w:tcBorders>
            <w:noWrap/>
            <w:vAlign w:val="center"/>
          </w:tcPr>
          <w:p w:rsidR="004B417C" w:rsidRPr="00014FAB"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r>
              <w:rPr>
                <w:szCs w:val="22"/>
                <w:lang w:val="el-GR"/>
              </w:rPr>
              <w:t>453</w:t>
            </w:r>
          </w:p>
        </w:tc>
        <w:tc>
          <w:tcPr>
            <w:tcW w:w="574" w:type="dxa"/>
            <w:tcBorders>
              <w:left w:val="nil"/>
              <w:right w:val="nil"/>
            </w:tcBorders>
            <w:vAlign w:val="center"/>
          </w:tcPr>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r>
      <w:tr w:rsidR="004B417C">
        <w:trPr>
          <w:trHeight w:val="284"/>
        </w:trPr>
        <w:tc>
          <w:tcPr>
            <w:tcW w:w="4320" w:type="dxa"/>
            <w:tcBorders>
              <w:left w:val="nil"/>
              <w:right w:val="nil"/>
            </w:tcBorders>
            <w:noWrap/>
            <w:vAlign w:val="center"/>
          </w:tcPr>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szCs w:val="22"/>
                <w:lang w:val="el-GR"/>
              </w:rPr>
            </w:pPr>
            <w:r>
              <w:rPr>
                <w:szCs w:val="22"/>
                <w:lang w:val="el-GR"/>
              </w:rPr>
              <w:t>Λοιπές υποχρεώσεις</w:t>
            </w:r>
          </w:p>
        </w:tc>
        <w:tc>
          <w:tcPr>
            <w:tcW w:w="1440" w:type="dxa"/>
            <w:tcBorders>
              <w:left w:val="nil"/>
              <w:right w:val="nil"/>
            </w:tcBorders>
            <w:noWrap/>
            <w:vAlign w:val="center"/>
          </w:tcPr>
          <w:p w:rsidR="004B417C" w:rsidRPr="00001A15"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b/>
                <w:bCs/>
                <w:szCs w:val="22"/>
                <w:lang w:val="el-GR"/>
              </w:rPr>
            </w:pPr>
            <w:r>
              <w:rPr>
                <w:b/>
                <w:bCs/>
                <w:szCs w:val="22"/>
              </w:rPr>
              <w:t>1</w:t>
            </w:r>
            <w:r>
              <w:rPr>
                <w:b/>
                <w:bCs/>
                <w:szCs w:val="22"/>
                <w:lang w:val="el-GR"/>
              </w:rPr>
              <w:t>6</w:t>
            </w:r>
          </w:p>
        </w:tc>
        <w:tc>
          <w:tcPr>
            <w:tcW w:w="1260" w:type="dxa"/>
            <w:tcBorders>
              <w:left w:val="nil"/>
              <w:right w:val="nil"/>
            </w:tcBorders>
            <w:vAlign w:val="center"/>
          </w:tcPr>
          <w:p w:rsidR="004B417C" w:rsidRPr="000F5C07" w:rsidRDefault="004B417C" w:rsidP="008D629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r>
              <w:rPr>
                <w:szCs w:val="22"/>
              </w:rPr>
              <w:t>1</w:t>
            </w:r>
            <w:r>
              <w:rPr>
                <w:szCs w:val="22"/>
                <w:lang w:val="el-GR"/>
              </w:rPr>
              <w:t>5.810</w:t>
            </w:r>
          </w:p>
        </w:tc>
        <w:tc>
          <w:tcPr>
            <w:tcW w:w="327" w:type="dxa"/>
            <w:tcBorders>
              <w:left w:val="nil"/>
              <w:right w:val="nil"/>
            </w:tcBorders>
          </w:tcPr>
          <w:p w:rsidR="004B417C" w:rsidRPr="00364398"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293" w:type="dxa"/>
            <w:tcBorders>
              <w:left w:val="nil"/>
              <w:right w:val="nil"/>
            </w:tcBorders>
            <w:noWrap/>
            <w:vAlign w:val="center"/>
          </w:tcPr>
          <w:p w:rsidR="004B417C" w:rsidRPr="00001A15"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r>
              <w:rPr>
                <w:szCs w:val="22"/>
                <w:lang w:val="el-GR"/>
              </w:rPr>
              <w:t>8.149</w:t>
            </w:r>
          </w:p>
        </w:tc>
        <w:tc>
          <w:tcPr>
            <w:tcW w:w="574" w:type="dxa"/>
            <w:tcBorders>
              <w:left w:val="nil"/>
              <w:right w:val="nil"/>
            </w:tcBorders>
            <w:vAlign w:val="center"/>
          </w:tcPr>
          <w:p w:rsidR="004B417C" w:rsidRPr="00C03356"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r>
      <w:tr w:rsidR="004B417C">
        <w:trPr>
          <w:trHeight w:val="284"/>
        </w:trPr>
        <w:tc>
          <w:tcPr>
            <w:tcW w:w="4320" w:type="dxa"/>
            <w:tcBorders>
              <w:left w:val="nil"/>
              <w:right w:val="nil"/>
            </w:tcBorders>
            <w:noWrap/>
            <w:vAlign w:val="center"/>
          </w:tcPr>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szCs w:val="22"/>
                <w:lang w:val="el-GR"/>
              </w:rPr>
            </w:pPr>
            <w:r>
              <w:rPr>
                <w:b/>
                <w:szCs w:val="22"/>
                <w:lang w:val="el-GR"/>
              </w:rPr>
              <w:t>ΣΥΝΟΛΟ ΥΠΟΧΡΕΩΣΕΩΝ</w:t>
            </w:r>
          </w:p>
        </w:tc>
        <w:tc>
          <w:tcPr>
            <w:tcW w:w="1440" w:type="dxa"/>
            <w:tcBorders>
              <w:left w:val="nil"/>
              <w:right w:val="nil"/>
            </w:tcBorders>
            <w:noWrap/>
            <w:vAlign w:val="center"/>
          </w:tcPr>
          <w:p w:rsidR="004B417C" w:rsidRPr="00EA6C78"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szCs w:val="22"/>
                <w:lang w:val="el-GR"/>
              </w:rPr>
            </w:pPr>
          </w:p>
        </w:tc>
        <w:tc>
          <w:tcPr>
            <w:tcW w:w="1260" w:type="dxa"/>
            <w:tcBorders>
              <w:top w:val="single" w:sz="4" w:space="0" w:color="auto"/>
              <w:left w:val="nil"/>
              <w:right w:val="nil"/>
            </w:tcBorders>
            <w:vAlign w:val="center"/>
          </w:tcPr>
          <w:p w:rsidR="004B417C" w:rsidRPr="000F5C07" w:rsidRDefault="004B417C" w:rsidP="008B34B5">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b/>
                <w:szCs w:val="22"/>
                <w:lang w:val="el-GR"/>
              </w:rPr>
            </w:pPr>
            <w:r>
              <w:rPr>
                <w:b/>
                <w:szCs w:val="22"/>
              </w:rPr>
              <w:t xml:space="preserve">     </w:t>
            </w:r>
            <w:r>
              <w:rPr>
                <w:b/>
                <w:szCs w:val="22"/>
                <w:lang w:val="el-GR"/>
              </w:rPr>
              <w:t>402.824</w:t>
            </w:r>
          </w:p>
        </w:tc>
        <w:tc>
          <w:tcPr>
            <w:tcW w:w="327" w:type="dxa"/>
            <w:tcBorders>
              <w:left w:val="nil"/>
              <w:right w:val="nil"/>
            </w:tcBorders>
          </w:tcPr>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293" w:type="dxa"/>
            <w:tcBorders>
              <w:top w:val="single" w:sz="4" w:space="0" w:color="auto"/>
              <w:left w:val="nil"/>
              <w:right w:val="nil"/>
            </w:tcBorders>
            <w:noWrap/>
            <w:vAlign w:val="center"/>
          </w:tcPr>
          <w:p w:rsidR="004B417C" w:rsidRPr="00014FAB" w:rsidRDefault="004B417C" w:rsidP="000759AE">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b/>
                <w:szCs w:val="22"/>
                <w:lang w:val="el-GR"/>
              </w:rPr>
            </w:pPr>
            <w:r>
              <w:rPr>
                <w:b/>
                <w:szCs w:val="22"/>
              </w:rPr>
              <w:t xml:space="preserve">      43</w:t>
            </w:r>
            <w:r>
              <w:rPr>
                <w:b/>
                <w:szCs w:val="22"/>
                <w:lang w:val="el-GR"/>
              </w:rPr>
              <w:t>9</w:t>
            </w:r>
            <w:r>
              <w:rPr>
                <w:b/>
                <w:szCs w:val="22"/>
              </w:rPr>
              <w:t>.</w:t>
            </w:r>
            <w:r>
              <w:rPr>
                <w:b/>
                <w:szCs w:val="22"/>
                <w:lang w:val="el-GR"/>
              </w:rPr>
              <w:t>228</w:t>
            </w:r>
          </w:p>
        </w:tc>
        <w:tc>
          <w:tcPr>
            <w:tcW w:w="574" w:type="dxa"/>
            <w:tcBorders>
              <w:left w:val="nil"/>
              <w:right w:val="nil"/>
            </w:tcBorders>
            <w:vAlign w:val="center"/>
          </w:tcPr>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Cs w:val="22"/>
                <w:lang w:val="el-GR"/>
              </w:rPr>
            </w:pPr>
          </w:p>
        </w:tc>
      </w:tr>
      <w:tr w:rsidR="004B417C">
        <w:trPr>
          <w:trHeight w:val="284"/>
        </w:trPr>
        <w:tc>
          <w:tcPr>
            <w:tcW w:w="4320" w:type="dxa"/>
            <w:tcBorders>
              <w:left w:val="nil"/>
              <w:right w:val="nil"/>
            </w:tcBorders>
            <w:noWrap/>
            <w:vAlign w:val="center"/>
          </w:tcPr>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b/>
                <w:szCs w:val="22"/>
                <w:lang w:val="el-GR"/>
              </w:rPr>
            </w:pPr>
          </w:p>
        </w:tc>
        <w:tc>
          <w:tcPr>
            <w:tcW w:w="1440" w:type="dxa"/>
            <w:tcBorders>
              <w:left w:val="nil"/>
              <w:right w:val="nil"/>
            </w:tcBorders>
            <w:noWrap/>
            <w:vAlign w:val="center"/>
          </w:tcPr>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szCs w:val="22"/>
                <w:lang w:val="el-GR"/>
              </w:rPr>
            </w:pPr>
          </w:p>
        </w:tc>
        <w:tc>
          <w:tcPr>
            <w:tcW w:w="1260" w:type="dxa"/>
            <w:tcBorders>
              <w:left w:val="nil"/>
              <w:right w:val="nil"/>
            </w:tcBorders>
            <w:vAlign w:val="center"/>
          </w:tcPr>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c>
          <w:tcPr>
            <w:tcW w:w="327" w:type="dxa"/>
            <w:tcBorders>
              <w:left w:val="nil"/>
              <w:right w:val="nil"/>
            </w:tcBorders>
          </w:tcPr>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293" w:type="dxa"/>
            <w:tcBorders>
              <w:left w:val="nil"/>
              <w:right w:val="nil"/>
            </w:tcBorders>
            <w:noWrap/>
            <w:vAlign w:val="center"/>
          </w:tcPr>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c>
          <w:tcPr>
            <w:tcW w:w="574" w:type="dxa"/>
            <w:tcBorders>
              <w:left w:val="nil"/>
              <w:right w:val="nil"/>
            </w:tcBorders>
            <w:vAlign w:val="center"/>
          </w:tcPr>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r>
      <w:tr w:rsidR="004B417C">
        <w:trPr>
          <w:trHeight w:val="284"/>
        </w:trPr>
        <w:tc>
          <w:tcPr>
            <w:tcW w:w="4320" w:type="dxa"/>
            <w:tcBorders>
              <w:left w:val="nil"/>
              <w:right w:val="nil"/>
            </w:tcBorders>
            <w:noWrap/>
            <w:vAlign w:val="center"/>
          </w:tcPr>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b/>
                <w:szCs w:val="22"/>
                <w:lang w:val="el-GR"/>
              </w:rPr>
            </w:pPr>
            <w:r>
              <w:rPr>
                <w:b/>
                <w:szCs w:val="22"/>
                <w:lang w:val="el-GR"/>
              </w:rPr>
              <w:t>Καθαρή Θέση</w:t>
            </w:r>
          </w:p>
        </w:tc>
        <w:tc>
          <w:tcPr>
            <w:tcW w:w="1440" w:type="dxa"/>
            <w:tcBorders>
              <w:left w:val="nil"/>
              <w:right w:val="nil"/>
            </w:tcBorders>
            <w:noWrap/>
            <w:vAlign w:val="center"/>
          </w:tcPr>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szCs w:val="22"/>
                <w:lang w:val="el-GR"/>
              </w:rPr>
            </w:pPr>
          </w:p>
        </w:tc>
        <w:tc>
          <w:tcPr>
            <w:tcW w:w="1260" w:type="dxa"/>
            <w:tcBorders>
              <w:left w:val="nil"/>
              <w:right w:val="nil"/>
            </w:tcBorders>
            <w:vAlign w:val="center"/>
          </w:tcPr>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c>
          <w:tcPr>
            <w:tcW w:w="327" w:type="dxa"/>
            <w:tcBorders>
              <w:left w:val="nil"/>
              <w:right w:val="nil"/>
            </w:tcBorders>
          </w:tcPr>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293" w:type="dxa"/>
            <w:tcBorders>
              <w:left w:val="nil"/>
              <w:right w:val="nil"/>
            </w:tcBorders>
            <w:noWrap/>
            <w:vAlign w:val="center"/>
          </w:tcPr>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c>
          <w:tcPr>
            <w:tcW w:w="574" w:type="dxa"/>
            <w:tcBorders>
              <w:left w:val="nil"/>
              <w:right w:val="nil"/>
            </w:tcBorders>
            <w:vAlign w:val="center"/>
          </w:tcPr>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r>
      <w:tr w:rsidR="004B417C">
        <w:trPr>
          <w:trHeight w:val="284"/>
        </w:trPr>
        <w:tc>
          <w:tcPr>
            <w:tcW w:w="4320" w:type="dxa"/>
            <w:tcBorders>
              <w:left w:val="nil"/>
              <w:right w:val="nil"/>
            </w:tcBorders>
            <w:noWrap/>
            <w:vAlign w:val="center"/>
          </w:tcPr>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szCs w:val="22"/>
                <w:lang w:val="el-GR"/>
              </w:rPr>
            </w:pPr>
            <w:r>
              <w:rPr>
                <w:szCs w:val="22"/>
                <w:lang w:val="el-GR"/>
              </w:rPr>
              <w:t>Μετοχικό Κεφάλαιο</w:t>
            </w:r>
          </w:p>
        </w:tc>
        <w:tc>
          <w:tcPr>
            <w:tcW w:w="1440" w:type="dxa"/>
            <w:tcBorders>
              <w:left w:val="nil"/>
              <w:right w:val="nil"/>
            </w:tcBorders>
            <w:noWrap/>
            <w:vAlign w:val="center"/>
          </w:tcPr>
          <w:p w:rsidR="004B417C" w:rsidRPr="002F520B"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b/>
                <w:szCs w:val="22"/>
                <w:lang w:val="el-GR"/>
              </w:rPr>
            </w:pPr>
            <w:r>
              <w:rPr>
                <w:b/>
                <w:szCs w:val="22"/>
                <w:lang w:val="el-GR"/>
              </w:rPr>
              <w:t>17</w:t>
            </w:r>
          </w:p>
        </w:tc>
        <w:tc>
          <w:tcPr>
            <w:tcW w:w="1260" w:type="dxa"/>
            <w:tcBorders>
              <w:left w:val="nil"/>
              <w:right w:val="nil"/>
            </w:tcBorders>
            <w:vAlign w:val="center"/>
          </w:tcPr>
          <w:p w:rsidR="004B417C" w:rsidRPr="00F60478"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rPr>
            </w:pPr>
            <w:r>
              <w:rPr>
                <w:szCs w:val="22"/>
              </w:rPr>
              <w:t>30.705</w:t>
            </w:r>
          </w:p>
        </w:tc>
        <w:tc>
          <w:tcPr>
            <w:tcW w:w="327" w:type="dxa"/>
            <w:tcBorders>
              <w:left w:val="nil"/>
              <w:right w:val="nil"/>
            </w:tcBorders>
          </w:tcPr>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293" w:type="dxa"/>
            <w:tcBorders>
              <w:left w:val="nil"/>
              <w:right w:val="nil"/>
            </w:tcBorders>
            <w:noWrap/>
            <w:vAlign w:val="center"/>
          </w:tcPr>
          <w:p w:rsidR="004B417C" w:rsidRPr="00035705"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rPr>
            </w:pPr>
            <w:r>
              <w:rPr>
                <w:szCs w:val="22"/>
              </w:rPr>
              <w:t>30.705</w:t>
            </w:r>
          </w:p>
        </w:tc>
        <w:tc>
          <w:tcPr>
            <w:tcW w:w="574" w:type="dxa"/>
            <w:tcBorders>
              <w:left w:val="nil"/>
              <w:right w:val="nil"/>
            </w:tcBorders>
            <w:vAlign w:val="center"/>
          </w:tcPr>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r>
      <w:tr w:rsidR="004B417C">
        <w:trPr>
          <w:trHeight w:val="284"/>
        </w:trPr>
        <w:tc>
          <w:tcPr>
            <w:tcW w:w="4320" w:type="dxa"/>
            <w:tcBorders>
              <w:left w:val="nil"/>
              <w:right w:val="nil"/>
            </w:tcBorders>
            <w:noWrap/>
            <w:vAlign w:val="center"/>
          </w:tcPr>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szCs w:val="22"/>
                <w:lang w:val="el-GR"/>
              </w:rPr>
            </w:pPr>
            <w:r>
              <w:rPr>
                <w:szCs w:val="22"/>
                <w:lang w:val="el-GR"/>
              </w:rPr>
              <w:t>Αποθεματικά</w:t>
            </w:r>
          </w:p>
        </w:tc>
        <w:tc>
          <w:tcPr>
            <w:tcW w:w="1440" w:type="dxa"/>
            <w:tcBorders>
              <w:left w:val="nil"/>
              <w:right w:val="nil"/>
            </w:tcBorders>
            <w:noWrap/>
            <w:vAlign w:val="center"/>
          </w:tcPr>
          <w:p w:rsidR="004B417C" w:rsidRPr="002F520B"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b/>
                <w:szCs w:val="22"/>
                <w:lang w:val="el-GR"/>
              </w:rPr>
            </w:pPr>
            <w:r>
              <w:rPr>
                <w:b/>
                <w:szCs w:val="22"/>
                <w:lang w:val="el-GR"/>
              </w:rPr>
              <w:t>18</w:t>
            </w:r>
          </w:p>
        </w:tc>
        <w:tc>
          <w:tcPr>
            <w:tcW w:w="1260" w:type="dxa"/>
            <w:tcBorders>
              <w:left w:val="nil"/>
              <w:right w:val="nil"/>
            </w:tcBorders>
            <w:vAlign w:val="center"/>
          </w:tcPr>
          <w:p w:rsidR="004B417C" w:rsidRPr="00012E8B" w:rsidRDefault="004B417C" w:rsidP="00075FE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rPr>
            </w:pPr>
            <w:r>
              <w:rPr>
                <w:szCs w:val="22"/>
              </w:rPr>
              <w:t>4.370</w:t>
            </w:r>
          </w:p>
        </w:tc>
        <w:tc>
          <w:tcPr>
            <w:tcW w:w="327" w:type="dxa"/>
            <w:tcBorders>
              <w:left w:val="nil"/>
              <w:right w:val="nil"/>
            </w:tcBorders>
          </w:tcPr>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293" w:type="dxa"/>
            <w:tcBorders>
              <w:left w:val="nil"/>
              <w:right w:val="nil"/>
            </w:tcBorders>
            <w:noWrap/>
            <w:vAlign w:val="center"/>
          </w:tcPr>
          <w:p w:rsidR="004B417C" w:rsidRPr="002C678F"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r>
              <w:rPr>
                <w:szCs w:val="22"/>
                <w:lang w:val="el-GR"/>
              </w:rPr>
              <w:t>3.990</w:t>
            </w:r>
          </w:p>
        </w:tc>
        <w:tc>
          <w:tcPr>
            <w:tcW w:w="574" w:type="dxa"/>
            <w:tcBorders>
              <w:left w:val="nil"/>
              <w:right w:val="nil"/>
            </w:tcBorders>
            <w:vAlign w:val="center"/>
          </w:tcPr>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r>
      <w:tr w:rsidR="004B417C" w:rsidRPr="00362ECB">
        <w:trPr>
          <w:trHeight w:val="284"/>
        </w:trPr>
        <w:tc>
          <w:tcPr>
            <w:tcW w:w="4320" w:type="dxa"/>
            <w:tcBorders>
              <w:left w:val="nil"/>
              <w:right w:val="nil"/>
            </w:tcBorders>
            <w:noWrap/>
            <w:vAlign w:val="center"/>
          </w:tcPr>
          <w:p w:rsidR="004B417C" w:rsidRPr="00D041CA"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szCs w:val="22"/>
                <w:lang w:val="el-GR"/>
              </w:rPr>
            </w:pPr>
            <w:r w:rsidRPr="00D041CA">
              <w:rPr>
                <w:szCs w:val="22"/>
                <w:lang w:val="el-GR"/>
              </w:rPr>
              <w:t>Αποτελέσματα εις νέο</w:t>
            </w:r>
          </w:p>
        </w:tc>
        <w:tc>
          <w:tcPr>
            <w:tcW w:w="1440" w:type="dxa"/>
            <w:tcBorders>
              <w:left w:val="nil"/>
              <w:right w:val="nil"/>
            </w:tcBorders>
            <w:noWrap/>
            <w:vAlign w:val="center"/>
          </w:tcPr>
          <w:p w:rsidR="004B417C" w:rsidRPr="00D041CA"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szCs w:val="22"/>
                <w:lang w:val="el-GR"/>
              </w:rPr>
            </w:pPr>
          </w:p>
        </w:tc>
        <w:tc>
          <w:tcPr>
            <w:tcW w:w="1260" w:type="dxa"/>
            <w:tcBorders>
              <w:left w:val="nil"/>
              <w:bottom w:val="single" w:sz="4" w:space="0" w:color="auto"/>
              <w:right w:val="nil"/>
            </w:tcBorders>
            <w:vAlign w:val="center"/>
          </w:tcPr>
          <w:p w:rsidR="004B417C" w:rsidRPr="00D041CA"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rPr>
            </w:pPr>
            <w:r w:rsidRPr="00D041CA">
              <w:rPr>
                <w:szCs w:val="22"/>
              </w:rPr>
              <w:t>(</w:t>
            </w:r>
            <w:r>
              <w:rPr>
                <w:szCs w:val="22"/>
              </w:rPr>
              <w:t>1</w:t>
            </w:r>
            <w:r>
              <w:rPr>
                <w:szCs w:val="22"/>
                <w:lang w:val="el-GR"/>
              </w:rPr>
              <w:t>61</w:t>
            </w:r>
            <w:r>
              <w:rPr>
                <w:szCs w:val="22"/>
              </w:rPr>
              <w:t>.</w:t>
            </w:r>
            <w:r>
              <w:rPr>
                <w:szCs w:val="22"/>
                <w:lang w:val="el-GR"/>
              </w:rPr>
              <w:t>510</w:t>
            </w:r>
            <w:r w:rsidRPr="00D041CA">
              <w:rPr>
                <w:szCs w:val="22"/>
              </w:rPr>
              <w:t>)</w:t>
            </w:r>
          </w:p>
        </w:tc>
        <w:tc>
          <w:tcPr>
            <w:tcW w:w="327" w:type="dxa"/>
            <w:tcBorders>
              <w:left w:val="nil"/>
              <w:right w:val="nil"/>
            </w:tcBorders>
          </w:tcPr>
          <w:p w:rsidR="004B417C" w:rsidRPr="00D041CA"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293" w:type="dxa"/>
            <w:tcBorders>
              <w:left w:val="nil"/>
              <w:bottom w:val="single" w:sz="4" w:space="0" w:color="auto"/>
              <w:right w:val="nil"/>
            </w:tcBorders>
            <w:noWrap/>
            <w:vAlign w:val="center"/>
          </w:tcPr>
          <w:p w:rsidR="004B417C" w:rsidRPr="00D041CA"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szCs w:val="22"/>
                <w:lang w:val="el-GR"/>
              </w:rPr>
            </w:pPr>
            <w:r w:rsidRPr="00D041CA">
              <w:rPr>
                <w:szCs w:val="22"/>
              </w:rPr>
              <w:t xml:space="preserve">     </w:t>
            </w:r>
            <w:r w:rsidRPr="00D041CA">
              <w:rPr>
                <w:szCs w:val="22"/>
                <w:lang w:val="el-GR"/>
              </w:rPr>
              <w:t>(</w:t>
            </w:r>
            <w:r>
              <w:rPr>
                <w:szCs w:val="22"/>
                <w:lang w:val="el-GR"/>
              </w:rPr>
              <w:t>96.060</w:t>
            </w:r>
            <w:r w:rsidRPr="00D041CA">
              <w:rPr>
                <w:szCs w:val="22"/>
                <w:lang w:val="el-GR"/>
              </w:rPr>
              <w:t xml:space="preserve">)       </w:t>
            </w:r>
          </w:p>
        </w:tc>
        <w:tc>
          <w:tcPr>
            <w:tcW w:w="574" w:type="dxa"/>
            <w:tcBorders>
              <w:left w:val="nil"/>
              <w:right w:val="nil"/>
            </w:tcBorders>
            <w:vAlign w:val="center"/>
          </w:tcPr>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r>
      <w:tr w:rsidR="004B417C" w:rsidRPr="00362ECB">
        <w:trPr>
          <w:trHeight w:val="284"/>
        </w:trPr>
        <w:tc>
          <w:tcPr>
            <w:tcW w:w="4320" w:type="dxa"/>
            <w:tcBorders>
              <w:left w:val="nil"/>
              <w:right w:val="nil"/>
            </w:tcBorders>
            <w:noWrap/>
            <w:vAlign w:val="center"/>
          </w:tcPr>
          <w:p w:rsidR="004B417C" w:rsidRPr="00D041CA"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szCs w:val="22"/>
                <w:lang w:val="el-GR"/>
              </w:rPr>
            </w:pPr>
          </w:p>
        </w:tc>
        <w:tc>
          <w:tcPr>
            <w:tcW w:w="1440" w:type="dxa"/>
            <w:tcBorders>
              <w:left w:val="nil"/>
              <w:right w:val="nil"/>
            </w:tcBorders>
            <w:noWrap/>
            <w:vAlign w:val="center"/>
          </w:tcPr>
          <w:p w:rsidR="004B417C" w:rsidRPr="00D041CA"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szCs w:val="22"/>
                <w:lang w:val="el-GR"/>
              </w:rPr>
            </w:pPr>
          </w:p>
        </w:tc>
        <w:tc>
          <w:tcPr>
            <w:tcW w:w="1260" w:type="dxa"/>
            <w:tcBorders>
              <w:top w:val="single" w:sz="4" w:space="0" w:color="auto"/>
              <w:left w:val="nil"/>
              <w:right w:val="nil"/>
            </w:tcBorders>
            <w:vAlign w:val="center"/>
          </w:tcPr>
          <w:p w:rsidR="004B417C" w:rsidRPr="00035705"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Cs w:val="22"/>
                <w:lang w:val="el-GR"/>
              </w:rPr>
            </w:pPr>
            <w:r w:rsidRPr="00035705">
              <w:rPr>
                <w:b/>
                <w:szCs w:val="22"/>
                <w:lang w:val="el-GR"/>
              </w:rPr>
              <w:t>(</w:t>
            </w:r>
            <w:r w:rsidRPr="00DA4BE4">
              <w:rPr>
                <w:b/>
                <w:szCs w:val="22"/>
                <w:lang w:val="el-GR"/>
              </w:rPr>
              <w:t>1</w:t>
            </w:r>
            <w:r>
              <w:rPr>
                <w:b/>
                <w:szCs w:val="22"/>
                <w:lang w:val="el-GR"/>
              </w:rPr>
              <w:t>26</w:t>
            </w:r>
            <w:r w:rsidRPr="00DA4BE4">
              <w:rPr>
                <w:b/>
                <w:szCs w:val="22"/>
                <w:lang w:val="el-GR"/>
              </w:rPr>
              <w:t>.</w:t>
            </w:r>
            <w:r>
              <w:rPr>
                <w:b/>
                <w:szCs w:val="22"/>
                <w:lang w:val="el-GR"/>
              </w:rPr>
              <w:t>435</w:t>
            </w:r>
            <w:r w:rsidRPr="00035705">
              <w:rPr>
                <w:b/>
                <w:szCs w:val="22"/>
                <w:lang w:val="el-GR"/>
              </w:rPr>
              <w:t>)</w:t>
            </w:r>
          </w:p>
        </w:tc>
        <w:tc>
          <w:tcPr>
            <w:tcW w:w="327" w:type="dxa"/>
            <w:tcBorders>
              <w:left w:val="nil"/>
              <w:right w:val="nil"/>
            </w:tcBorders>
          </w:tcPr>
          <w:p w:rsidR="004B417C" w:rsidRPr="00D041CA"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293" w:type="dxa"/>
            <w:tcBorders>
              <w:top w:val="single" w:sz="4" w:space="0" w:color="auto"/>
              <w:left w:val="nil"/>
              <w:right w:val="nil"/>
            </w:tcBorders>
            <w:noWrap/>
            <w:vAlign w:val="center"/>
          </w:tcPr>
          <w:p w:rsidR="004B417C" w:rsidRPr="00DA4BE4"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Cs w:val="22"/>
                <w:lang w:val="el-GR"/>
              </w:rPr>
            </w:pPr>
            <w:r>
              <w:rPr>
                <w:b/>
                <w:szCs w:val="22"/>
                <w:lang w:val="el-GR"/>
              </w:rPr>
              <w:t>(61.365)</w:t>
            </w:r>
          </w:p>
        </w:tc>
        <w:tc>
          <w:tcPr>
            <w:tcW w:w="574" w:type="dxa"/>
            <w:tcBorders>
              <w:left w:val="nil"/>
              <w:right w:val="nil"/>
            </w:tcBorders>
            <w:vAlign w:val="center"/>
          </w:tcPr>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r>
      <w:tr w:rsidR="004B417C" w:rsidRPr="00362ECB" w:rsidTr="000D5542">
        <w:trPr>
          <w:trHeight w:val="80"/>
        </w:trPr>
        <w:tc>
          <w:tcPr>
            <w:tcW w:w="4320" w:type="dxa"/>
            <w:tcBorders>
              <w:left w:val="nil"/>
              <w:right w:val="nil"/>
            </w:tcBorders>
            <w:noWrap/>
            <w:vAlign w:val="center"/>
          </w:tcPr>
          <w:p w:rsidR="004B417C" w:rsidRPr="00D041CA" w:rsidRDefault="004B417C" w:rsidP="000D5542">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b/>
                <w:szCs w:val="22"/>
                <w:lang w:val="el-GR"/>
              </w:rPr>
            </w:pPr>
          </w:p>
        </w:tc>
        <w:tc>
          <w:tcPr>
            <w:tcW w:w="1440" w:type="dxa"/>
            <w:tcBorders>
              <w:left w:val="nil"/>
              <w:right w:val="nil"/>
            </w:tcBorders>
            <w:noWrap/>
            <w:vAlign w:val="center"/>
          </w:tcPr>
          <w:p w:rsidR="004B417C" w:rsidRPr="00D041CA"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szCs w:val="22"/>
                <w:lang w:val="el-GR"/>
              </w:rPr>
            </w:pPr>
          </w:p>
        </w:tc>
        <w:tc>
          <w:tcPr>
            <w:tcW w:w="1260" w:type="dxa"/>
            <w:tcBorders>
              <w:left w:val="nil"/>
              <w:bottom w:val="single" w:sz="4" w:space="0" w:color="auto"/>
              <w:right w:val="nil"/>
            </w:tcBorders>
            <w:vAlign w:val="center"/>
          </w:tcPr>
          <w:p w:rsidR="004B417C" w:rsidRPr="00D041CA"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c>
          <w:tcPr>
            <w:tcW w:w="327" w:type="dxa"/>
            <w:tcBorders>
              <w:left w:val="nil"/>
              <w:right w:val="nil"/>
            </w:tcBorders>
          </w:tcPr>
          <w:p w:rsidR="004B417C" w:rsidRPr="00D041CA"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293" w:type="dxa"/>
            <w:tcBorders>
              <w:left w:val="nil"/>
              <w:bottom w:val="single" w:sz="4" w:space="0" w:color="auto"/>
              <w:right w:val="nil"/>
            </w:tcBorders>
            <w:noWrap/>
            <w:vAlign w:val="center"/>
          </w:tcPr>
          <w:p w:rsidR="004B417C" w:rsidRPr="00D041CA"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c>
          <w:tcPr>
            <w:tcW w:w="574" w:type="dxa"/>
            <w:tcBorders>
              <w:left w:val="nil"/>
              <w:right w:val="nil"/>
            </w:tcBorders>
            <w:vAlign w:val="center"/>
          </w:tcPr>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r>
      <w:tr w:rsidR="004B417C" w:rsidRPr="00362ECB">
        <w:trPr>
          <w:trHeight w:val="284"/>
        </w:trPr>
        <w:tc>
          <w:tcPr>
            <w:tcW w:w="4320" w:type="dxa"/>
            <w:tcBorders>
              <w:left w:val="nil"/>
              <w:right w:val="nil"/>
            </w:tcBorders>
            <w:noWrap/>
            <w:vAlign w:val="center"/>
          </w:tcPr>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b/>
                <w:szCs w:val="22"/>
                <w:lang w:val="el-GR"/>
              </w:rPr>
            </w:pPr>
            <w:r>
              <w:rPr>
                <w:b/>
                <w:szCs w:val="22"/>
                <w:lang w:val="el-GR"/>
              </w:rPr>
              <w:t>ΣΥΝΟΛΟ ΠΑΘΗΤΙΚΟΥ</w:t>
            </w:r>
          </w:p>
        </w:tc>
        <w:tc>
          <w:tcPr>
            <w:tcW w:w="1440" w:type="dxa"/>
            <w:tcBorders>
              <w:left w:val="nil"/>
              <w:right w:val="nil"/>
            </w:tcBorders>
            <w:noWrap/>
            <w:vAlign w:val="center"/>
          </w:tcPr>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szCs w:val="22"/>
                <w:lang w:val="el-GR"/>
              </w:rPr>
            </w:pPr>
          </w:p>
        </w:tc>
        <w:tc>
          <w:tcPr>
            <w:tcW w:w="1260" w:type="dxa"/>
            <w:tcBorders>
              <w:top w:val="single" w:sz="4" w:space="0" w:color="auto"/>
              <w:left w:val="nil"/>
              <w:bottom w:val="double" w:sz="4" w:space="0" w:color="auto"/>
              <w:right w:val="nil"/>
            </w:tcBorders>
            <w:vAlign w:val="center"/>
          </w:tcPr>
          <w:p w:rsidR="004B417C" w:rsidRPr="00634740"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Cs w:val="22"/>
                <w:lang w:val="el-GR"/>
              </w:rPr>
            </w:pPr>
            <w:r w:rsidRPr="00DA4BE4">
              <w:rPr>
                <w:b/>
                <w:szCs w:val="22"/>
                <w:lang w:val="el-GR"/>
              </w:rPr>
              <w:t>2</w:t>
            </w:r>
            <w:r>
              <w:rPr>
                <w:b/>
                <w:szCs w:val="22"/>
                <w:lang w:val="el-GR"/>
              </w:rPr>
              <w:t>76</w:t>
            </w:r>
            <w:r w:rsidRPr="00DA4BE4">
              <w:rPr>
                <w:b/>
                <w:szCs w:val="22"/>
                <w:lang w:val="el-GR"/>
              </w:rPr>
              <w:t>.</w:t>
            </w:r>
            <w:r>
              <w:rPr>
                <w:b/>
                <w:szCs w:val="22"/>
                <w:lang w:val="el-GR"/>
              </w:rPr>
              <w:t>389</w:t>
            </w:r>
          </w:p>
        </w:tc>
        <w:tc>
          <w:tcPr>
            <w:tcW w:w="327" w:type="dxa"/>
            <w:tcBorders>
              <w:left w:val="nil"/>
              <w:right w:val="nil"/>
            </w:tcBorders>
          </w:tcPr>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293" w:type="dxa"/>
            <w:tcBorders>
              <w:top w:val="single" w:sz="4" w:space="0" w:color="auto"/>
              <w:left w:val="nil"/>
              <w:bottom w:val="double" w:sz="4" w:space="0" w:color="auto"/>
              <w:right w:val="nil"/>
            </w:tcBorders>
            <w:noWrap/>
            <w:vAlign w:val="center"/>
          </w:tcPr>
          <w:p w:rsidR="004B417C" w:rsidRPr="00DA4BE4"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Cs w:val="22"/>
                <w:lang w:val="el-GR"/>
              </w:rPr>
            </w:pPr>
            <w:r>
              <w:rPr>
                <w:b/>
                <w:szCs w:val="22"/>
                <w:lang w:val="el-GR"/>
              </w:rPr>
              <w:t>377</w:t>
            </w:r>
            <w:r w:rsidRPr="00DA4BE4">
              <w:rPr>
                <w:b/>
                <w:szCs w:val="22"/>
                <w:lang w:val="el-GR"/>
              </w:rPr>
              <w:t>.8</w:t>
            </w:r>
            <w:r>
              <w:rPr>
                <w:b/>
                <w:szCs w:val="22"/>
                <w:lang w:val="el-GR"/>
              </w:rPr>
              <w:t>63</w:t>
            </w:r>
          </w:p>
        </w:tc>
        <w:tc>
          <w:tcPr>
            <w:tcW w:w="574" w:type="dxa"/>
            <w:tcBorders>
              <w:left w:val="nil"/>
              <w:right w:val="nil"/>
            </w:tcBorders>
            <w:vAlign w:val="center"/>
          </w:tcPr>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r>
    </w:tbl>
    <w:p w:rsidR="004B417C" w:rsidRPr="000759AE"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lang w:val="el-GR"/>
        </w:rPr>
      </w:pPr>
    </w:p>
    <w:p w:rsidR="004B417C" w:rsidRPr="000759AE"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lang w:val="el-GR"/>
        </w:rPr>
      </w:pPr>
    </w:p>
    <w:p w:rsidR="004B417C" w:rsidRPr="000759AE"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lang w:val="el-GR"/>
        </w:rPr>
      </w:pPr>
    </w:p>
    <w:p w:rsidR="004B417C" w:rsidRPr="000759AE"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lang w:val="el-GR"/>
        </w:rPr>
      </w:pPr>
    </w:p>
    <w:p w:rsidR="004B417C" w:rsidRPr="000759AE"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lang w:val="el-GR"/>
        </w:rPr>
      </w:pPr>
    </w:p>
    <w:p w:rsidR="004B417C" w:rsidRPr="000759AE"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lang w:val="el-GR"/>
        </w:rPr>
      </w:pPr>
    </w:p>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lang w:val="el-GR"/>
        </w:rPr>
      </w:pPr>
    </w:p>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lang w:val="el-GR"/>
        </w:rPr>
      </w:pPr>
    </w:p>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lang w:val="el-GR"/>
        </w:rPr>
      </w:pPr>
    </w:p>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lang w:val="el-GR"/>
        </w:rPr>
      </w:pPr>
    </w:p>
    <w:p w:rsidR="004B417C" w:rsidRPr="000759AE"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lang w:val="el-GR"/>
        </w:rPr>
      </w:pPr>
    </w:p>
    <w:p w:rsidR="004B417C" w:rsidRPr="000759AE"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lang w:val="el-GR"/>
        </w:rPr>
      </w:pPr>
    </w:p>
    <w:p w:rsidR="004B417C" w:rsidRPr="000759AE"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lang w:val="el-GR"/>
        </w:rPr>
      </w:pPr>
    </w:p>
    <w:p w:rsidR="004B417C" w:rsidRPr="000759AE"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lang w:val="el-GR"/>
        </w:rPr>
      </w:pPr>
    </w:p>
    <w:p w:rsidR="004B417C" w:rsidRPr="000759AE"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lang w:val="el-GR"/>
        </w:rPr>
      </w:pPr>
    </w:p>
    <w:p w:rsidR="004B417C" w:rsidRPr="00035705"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lang w:val="el-GR"/>
        </w:rPr>
      </w:pPr>
    </w:p>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lang w:val="el-GR"/>
        </w:rPr>
      </w:pPr>
    </w:p>
    <w:p w:rsidR="004B417C" w:rsidRPr="00035705"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lang w:val="el-GR"/>
        </w:rPr>
      </w:pPr>
    </w:p>
    <w:p w:rsidR="004B417C" w:rsidRPr="000759AE"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lang w:val="el-GR"/>
        </w:rPr>
      </w:pPr>
    </w:p>
    <w:p w:rsidR="004B417C" w:rsidRDefault="004B417C" w:rsidP="00897C4C">
      <w:pPr>
        <w:pStyle w:val="xl38"/>
        <w:pBdr>
          <w:bottom w:val="none" w:sz="0" w:space="0" w:color="auto"/>
        </w:pBdr>
        <w:spacing w:before="0" w:beforeAutospacing="0" w:after="0" w:afterAutospacing="0" w:line="360" w:lineRule="auto"/>
        <w:jc w:val="both"/>
        <w:rPr>
          <w:rFonts w:eastAsia="Times New Roman" w:cs="Times New Roman"/>
          <w:b w:val="0"/>
          <w:sz w:val="20"/>
          <w:szCs w:val="18"/>
          <w:lang w:eastAsia="en-US"/>
        </w:rPr>
      </w:pPr>
      <w:r>
        <w:rPr>
          <w:rFonts w:eastAsia="Times New Roman" w:cs="Times New Roman"/>
          <w:b w:val="0"/>
          <w:sz w:val="20"/>
          <w:szCs w:val="18"/>
          <w:lang w:eastAsia="en-US"/>
        </w:rPr>
        <w:t>Οι επισυναπτόμενες σημειώσεις  που αναφέρονται στις σελίδες από 5 έως 30</w:t>
      </w:r>
      <w:r w:rsidRPr="003141B4">
        <w:rPr>
          <w:rFonts w:eastAsia="Times New Roman" w:cs="Times New Roman"/>
          <w:b w:val="0"/>
          <w:sz w:val="20"/>
          <w:szCs w:val="18"/>
          <w:lang w:eastAsia="en-US"/>
        </w:rPr>
        <w:t xml:space="preserve"> αποτελούν</w:t>
      </w:r>
      <w:r>
        <w:rPr>
          <w:rFonts w:eastAsia="Times New Roman" w:cs="Times New Roman"/>
          <w:b w:val="0"/>
          <w:sz w:val="20"/>
          <w:szCs w:val="18"/>
          <w:lang w:eastAsia="en-US"/>
        </w:rPr>
        <w:t xml:space="preserve"> αναπόσπαστο</w:t>
      </w:r>
      <w:r>
        <w:rPr>
          <w:rFonts w:eastAsia="Times New Roman" w:cs="Times New Roman"/>
          <w:b w:val="0"/>
          <w:sz w:val="20"/>
          <w:szCs w:val="18"/>
          <w:lang w:eastAsia="en-US"/>
        </w:rPr>
        <w:br/>
        <w:t>μέρος των οικονομικών καταστάσεων.</w:t>
      </w:r>
    </w:p>
    <w:p w:rsidR="004B417C" w:rsidRPr="00897C4C" w:rsidRDefault="004B417C" w:rsidP="00897C4C">
      <w:pPr>
        <w:pStyle w:val="xl38"/>
        <w:pBdr>
          <w:bottom w:val="none" w:sz="0" w:space="0" w:color="auto"/>
        </w:pBdr>
        <w:spacing w:before="0" w:beforeAutospacing="0" w:after="0" w:afterAutospacing="0" w:line="360" w:lineRule="auto"/>
        <w:jc w:val="both"/>
        <w:rPr>
          <w:rFonts w:eastAsia="Times New Roman" w:cs="Times New Roman"/>
          <w:b w:val="0"/>
          <w:sz w:val="18"/>
          <w:szCs w:val="18"/>
          <w:lang w:eastAsia="en-US"/>
        </w:rPr>
      </w:pPr>
    </w:p>
    <w:tbl>
      <w:tblPr>
        <w:tblW w:w="10354" w:type="dxa"/>
        <w:tblInd w:w="108" w:type="dxa"/>
        <w:tblLook w:val="0000"/>
      </w:tblPr>
      <w:tblGrid>
        <w:gridCol w:w="3400"/>
        <w:gridCol w:w="1676"/>
        <w:gridCol w:w="1300"/>
        <w:gridCol w:w="1218"/>
        <w:gridCol w:w="1420"/>
        <w:gridCol w:w="1340"/>
      </w:tblGrid>
      <w:tr w:rsidR="004B417C" w:rsidRPr="00F21992">
        <w:trPr>
          <w:trHeight w:val="240"/>
        </w:trPr>
        <w:tc>
          <w:tcPr>
            <w:tcW w:w="5076" w:type="dxa"/>
            <w:gridSpan w:val="2"/>
            <w:tcBorders>
              <w:top w:val="nil"/>
              <w:left w:val="nil"/>
              <w:bottom w:val="nil"/>
              <w:right w:val="nil"/>
            </w:tcBorders>
            <w:noWrap/>
            <w:vAlign w:val="bottom"/>
          </w:tcPr>
          <w:p w:rsidR="004B417C" w:rsidRPr="00F21992" w:rsidRDefault="004B417C"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b/>
                <w:bCs/>
                <w:szCs w:val="22"/>
                <w:lang w:val="el-GR" w:eastAsia="el-GR"/>
              </w:rPr>
            </w:pPr>
            <w:r w:rsidRPr="00F21992">
              <w:rPr>
                <w:b/>
                <w:bCs/>
                <w:szCs w:val="22"/>
                <w:lang w:val="el-GR" w:eastAsia="el-GR"/>
              </w:rPr>
              <w:lastRenderedPageBreak/>
              <w:t>Κατάσταση μεταβολών ιδίων κεφαλαίων</w:t>
            </w:r>
          </w:p>
          <w:p w:rsidR="004B417C" w:rsidRPr="00F21992" w:rsidRDefault="004B417C"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b/>
                <w:bCs/>
                <w:szCs w:val="22"/>
                <w:lang w:val="el-GR" w:eastAsia="el-GR"/>
              </w:rPr>
            </w:pPr>
            <w:r w:rsidRPr="00F21992">
              <w:rPr>
                <w:b/>
                <w:bCs/>
                <w:szCs w:val="22"/>
                <w:lang w:val="el-GR" w:eastAsia="el-GR"/>
              </w:rPr>
              <w:t xml:space="preserve">Για τη χρήση που έληξε στις 31 Δεκεμβρίου </w:t>
            </w:r>
          </w:p>
          <w:p w:rsidR="004B417C" w:rsidRPr="00F21992" w:rsidRDefault="004B417C"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i/>
                <w:sz w:val="18"/>
                <w:szCs w:val="18"/>
                <w:lang w:val="el-GR"/>
              </w:rPr>
            </w:pPr>
            <w:r w:rsidRPr="00F21992">
              <w:rPr>
                <w:i/>
                <w:sz w:val="18"/>
                <w:szCs w:val="18"/>
                <w:lang w:val="el-GR"/>
              </w:rPr>
              <w:t>Ποσά σε χιλιάδες Ευρώ</w:t>
            </w:r>
          </w:p>
          <w:p w:rsidR="004B417C" w:rsidRPr="00F21992" w:rsidRDefault="004B417C"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b/>
                <w:bCs/>
                <w:szCs w:val="22"/>
                <w:lang w:val="el-GR" w:eastAsia="el-GR"/>
              </w:rPr>
            </w:pPr>
          </w:p>
        </w:tc>
        <w:tc>
          <w:tcPr>
            <w:tcW w:w="1300" w:type="dxa"/>
            <w:tcBorders>
              <w:top w:val="nil"/>
              <w:left w:val="nil"/>
              <w:bottom w:val="nil"/>
              <w:right w:val="nil"/>
            </w:tcBorders>
            <w:noWrap/>
            <w:vAlign w:val="bottom"/>
          </w:tcPr>
          <w:p w:rsidR="004B417C" w:rsidRPr="00F21992" w:rsidRDefault="004B417C"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center"/>
              <w:rPr>
                <w:b/>
                <w:bCs/>
                <w:szCs w:val="22"/>
                <w:lang w:val="el-GR" w:eastAsia="el-GR"/>
              </w:rPr>
            </w:pPr>
          </w:p>
        </w:tc>
        <w:tc>
          <w:tcPr>
            <w:tcW w:w="1218" w:type="dxa"/>
            <w:tcBorders>
              <w:top w:val="nil"/>
              <w:left w:val="nil"/>
              <w:bottom w:val="nil"/>
              <w:right w:val="nil"/>
            </w:tcBorders>
            <w:noWrap/>
            <w:vAlign w:val="bottom"/>
          </w:tcPr>
          <w:p w:rsidR="004B417C" w:rsidRPr="00F21992" w:rsidRDefault="004B417C"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center"/>
              <w:rPr>
                <w:b/>
                <w:bCs/>
                <w:szCs w:val="22"/>
                <w:lang w:val="el-GR" w:eastAsia="el-GR"/>
              </w:rPr>
            </w:pPr>
          </w:p>
        </w:tc>
        <w:tc>
          <w:tcPr>
            <w:tcW w:w="1420" w:type="dxa"/>
            <w:tcBorders>
              <w:top w:val="nil"/>
              <w:left w:val="nil"/>
              <w:bottom w:val="nil"/>
              <w:right w:val="nil"/>
            </w:tcBorders>
            <w:noWrap/>
            <w:vAlign w:val="bottom"/>
          </w:tcPr>
          <w:p w:rsidR="004B417C" w:rsidRPr="00F21992" w:rsidRDefault="004B417C"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center"/>
              <w:rPr>
                <w:b/>
                <w:bCs/>
                <w:szCs w:val="22"/>
                <w:lang w:val="el-GR" w:eastAsia="el-GR"/>
              </w:rPr>
            </w:pPr>
          </w:p>
        </w:tc>
        <w:tc>
          <w:tcPr>
            <w:tcW w:w="1340" w:type="dxa"/>
            <w:tcBorders>
              <w:top w:val="nil"/>
              <w:left w:val="nil"/>
              <w:bottom w:val="nil"/>
              <w:right w:val="nil"/>
            </w:tcBorders>
            <w:noWrap/>
            <w:vAlign w:val="bottom"/>
          </w:tcPr>
          <w:p w:rsidR="004B417C" w:rsidRPr="00F21992" w:rsidRDefault="004B417C"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center"/>
              <w:rPr>
                <w:b/>
                <w:bCs/>
                <w:szCs w:val="22"/>
                <w:lang w:val="el-GR" w:eastAsia="el-GR"/>
              </w:rPr>
            </w:pPr>
          </w:p>
        </w:tc>
      </w:tr>
      <w:tr w:rsidR="004B417C" w:rsidRPr="00F21992">
        <w:trPr>
          <w:trHeight w:val="975"/>
        </w:trPr>
        <w:tc>
          <w:tcPr>
            <w:tcW w:w="3400" w:type="dxa"/>
            <w:tcBorders>
              <w:top w:val="nil"/>
              <w:left w:val="nil"/>
              <w:bottom w:val="single" w:sz="4" w:space="0" w:color="auto"/>
              <w:right w:val="nil"/>
            </w:tcBorders>
            <w:vAlign w:val="bottom"/>
          </w:tcPr>
          <w:p w:rsidR="004B417C" w:rsidRPr="00F21992" w:rsidRDefault="004B417C"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b/>
                <w:bCs/>
                <w:sz w:val="18"/>
                <w:szCs w:val="18"/>
                <w:lang w:val="el-GR" w:eastAsia="el-GR"/>
              </w:rPr>
            </w:pPr>
          </w:p>
          <w:p w:rsidR="004B417C" w:rsidRPr="00F21992" w:rsidRDefault="004B417C"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b/>
                <w:bCs/>
                <w:sz w:val="18"/>
                <w:szCs w:val="18"/>
                <w:lang w:val="el-GR" w:eastAsia="el-GR"/>
              </w:rPr>
            </w:pPr>
          </w:p>
        </w:tc>
        <w:tc>
          <w:tcPr>
            <w:tcW w:w="1676" w:type="dxa"/>
            <w:tcBorders>
              <w:top w:val="nil"/>
              <w:left w:val="nil"/>
              <w:bottom w:val="single" w:sz="4" w:space="0" w:color="auto"/>
              <w:right w:val="nil"/>
            </w:tcBorders>
            <w:vAlign w:val="bottom"/>
          </w:tcPr>
          <w:p w:rsidR="004B417C" w:rsidRPr="00F21992" w:rsidRDefault="004B417C" w:rsidP="00562711">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603"/>
              <w:jc w:val="center"/>
              <w:rPr>
                <w:b/>
                <w:bCs/>
                <w:sz w:val="18"/>
                <w:szCs w:val="18"/>
                <w:lang w:val="el-GR" w:eastAsia="el-GR"/>
              </w:rPr>
            </w:pPr>
            <w:r w:rsidRPr="00F21992">
              <w:rPr>
                <w:b/>
                <w:bCs/>
                <w:sz w:val="18"/>
                <w:szCs w:val="18"/>
                <w:lang w:eastAsia="el-GR"/>
              </w:rPr>
              <w:t xml:space="preserve">Μετοχικό </w:t>
            </w:r>
            <w:r>
              <w:rPr>
                <w:b/>
                <w:bCs/>
                <w:sz w:val="18"/>
                <w:szCs w:val="18"/>
                <w:lang w:val="el-GR" w:eastAsia="el-GR"/>
              </w:rPr>
              <w:t xml:space="preserve">                             </w:t>
            </w:r>
            <w:r w:rsidRPr="00F21992">
              <w:rPr>
                <w:b/>
                <w:bCs/>
                <w:sz w:val="18"/>
                <w:szCs w:val="18"/>
                <w:lang w:eastAsia="el-GR"/>
              </w:rPr>
              <w:t>κεφάλαιο</w:t>
            </w:r>
          </w:p>
        </w:tc>
        <w:tc>
          <w:tcPr>
            <w:tcW w:w="1300" w:type="dxa"/>
            <w:tcBorders>
              <w:top w:val="nil"/>
              <w:left w:val="nil"/>
              <w:bottom w:val="single" w:sz="4" w:space="0" w:color="auto"/>
              <w:right w:val="nil"/>
            </w:tcBorders>
            <w:vAlign w:val="bottom"/>
          </w:tcPr>
          <w:p w:rsidR="004B417C" w:rsidRPr="00F21992" w:rsidRDefault="004B417C"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center"/>
              <w:rPr>
                <w:b/>
                <w:bCs/>
                <w:sz w:val="18"/>
                <w:szCs w:val="18"/>
                <w:lang w:val="el-GR" w:eastAsia="el-GR"/>
              </w:rPr>
            </w:pPr>
            <w:r w:rsidRPr="00F21992">
              <w:rPr>
                <w:b/>
                <w:bCs/>
                <w:sz w:val="18"/>
                <w:szCs w:val="18"/>
                <w:lang w:val="el-GR" w:eastAsia="el-GR"/>
              </w:rPr>
              <w:t>Αποθεματικό χρεογράφων διαθέσιμων προς πώληση</w:t>
            </w:r>
          </w:p>
        </w:tc>
        <w:tc>
          <w:tcPr>
            <w:tcW w:w="1218" w:type="dxa"/>
            <w:tcBorders>
              <w:top w:val="nil"/>
              <w:left w:val="nil"/>
              <w:bottom w:val="single" w:sz="4" w:space="0" w:color="auto"/>
              <w:right w:val="nil"/>
            </w:tcBorders>
            <w:vAlign w:val="bottom"/>
          </w:tcPr>
          <w:p w:rsidR="004B417C" w:rsidRPr="00F21992" w:rsidRDefault="004B417C"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center"/>
              <w:rPr>
                <w:b/>
                <w:bCs/>
                <w:sz w:val="18"/>
                <w:szCs w:val="18"/>
                <w:lang w:val="el-GR" w:eastAsia="el-GR"/>
              </w:rPr>
            </w:pPr>
            <w:r w:rsidRPr="00F21992">
              <w:rPr>
                <w:b/>
                <w:bCs/>
                <w:sz w:val="18"/>
                <w:szCs w:val="18"/>
                <w:lang w:eastAsia="el-GR"/>
              </w:rPr>
              <w:t>Λοιπά αποθεματικά</w:t>
            </w:r>
          </w:p>
        </w:tc>
        <w:tc>
          <w:tcPr>
            <w:tcW w:w="1420" w:type="dxa"/>
            <w:tcBorders>
              <w:top w:val="nil"/>
              <w:left w:val="nil"/>
              <w:bottom w:val="single" w:sz="4" w:space="0" w:color="auto"/>
              <w:right w:val="nil"/>
            </w:tcBorders>
            <w:vAlign w:val="bottom"/>
          </w:tcPr>
          <w:p w:rsidR="004B417C" w:rsidRPr="00F21992" w:rsidRDefault="004B417C"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center"/>
              <w:rPr>
                <w:b/>
                <w:bCs/>
                <w:sz w:val="18"/>
                <w:szCs w:val="18"/>
                <w:lang w:val="el-GR" w:eastAsia="el-GR"/>
              </w:rPr>
            </w:pPr>
            <w:r w:rsidRPr="00F21992">
              <w:rPr>
                <w:b/>
                <w:bCs/>
                <w:sz w:val="18"/>
                <w:szCs w:val="18"/>
                <w:lang w:eastAsia="el-GR"/>
              </w:rPr>
              <w:t>Σωρευμένα κέρδη / (ζημιές)</w:t>
            </w:r>
          </w:p>
        </w:tc>
        <w:tc>
          <w:tcPr>
            <w:tcW w:w="1340" w:type="dxa"/>
            <w:tcBorders>
              <w:top w:val="nil"/>
              <w:left w:val="nil"/>
              <w:bottom w:val="single" w:sz="4" w:space="0" w:color="auto"/>
              <w:right w:val="nil"/>
            </w:tcBorders>
            <w:vAlign w:val="bottom"/>
          </w:tcPr>
          <w:p w:rsidR="004B417C" w:rsidRPr="00F21992" w:rsidRDefault="004B417C"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center"/>
              <w:rPr>
                <w:b/>
                <w:bCs/>
                <w:sz w:val="18"/>
                <w:szCs w:val="18"/>
                <w:lang w:val="el-GR" w:eastAsia="el-GR"/>
              </w:rPr>
            </w:pPr>
            <w:r w:rsidRPr="00F21992">
              <w:rPr>
                <w:b/>
                <w:bCs/>
                <w:sz w:val="18"/>
                <w:szCs w:val="18"/>
                <w:lang w:eastAsia="el-GR"/>
              </w:rPr>
              <w:t>Σύνολο ιδίων Κεφαλαίων</w:t>
            </w:r>
          </w:p>
        </w:tc>
      </w:tr>
      <w:tr w:rsidR="004B417C" w:rsidRPr="00860F4B">
        <w:trPr>
          <w:trHeight w:val="270"/>
        </w:trPr>
        <w:tc>
          <w:tcPr>
            <w:tcW w:w="3400" w:type="dxa"/>
            <w:tcBorders>
              <w:top w:val="single" w:sz="4" w:space="0" w:color="auto"/>
              <w:left w:val="nil"/>
              <w:bottom w:val="single" w:sz="12" w:space="0" w:color="auto"/>
              <w:right w:val="nil"/>
            </w:tcBorders>
            <w:vAlign w:val="bottom"/>
          </w:tcPr>
          <w:p w:rsidR="004B417C" w:rsidRPr="004A206C" w:rsidRDefault="004B417C"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b/>
                <w:bCs/>
                <w:sz w:val="18"/>
                <w:szCs w:val="18"/>
                <w:lang w:eastAsia="el-GR"/>
              </w:rPr>
            </w:pPr>
            <w:r w:rsidRPr="004A206C">
              <w:rPr>
                <w:b/>
                <w:bCs/>
                <w:sz w:val="18"/>
                <w:szCs w:val="18"/>
                <w:lang w:val="el-GR" w:eastAsia="el-GR"/>
              </w:rPr>
              <w:t>Υπόλοιπα 1 Ιανουαρίου 201</w:t>
            </w:r>
            <w:r w:rsidRPr="004A206C">
              <w:rPr>
                <w:b/>
                <w:bCs/>
                <w:sz w:val="18"/>
                <w:szCs w:val="18"/>
                <w:lang w:eastAsia="el-GR"/>
              </w:rPr>
              <w:t>1</w:t>
            </w:r>
          </w:p>
        </w:tc>
        <w:tc>
          <w:tcPr>
            <w:tcW w:w="1676" w:type="dxa"/>
            <w:tcBorders>
              <w:top w:val="single" w:sz="4" w:space="0" w:color="auto"/>
              <w:left w:val="nil"/>
              <w:bottom w:val="single" w:sz="12" w:space="0" w:color="auto"/>
              <w:right w:val="nil"/>
            </w:tcBorders>
            <w:noWrap/>
            <w:vAlign w:val="bottom"/>
          </w:tcPr>
          <w:p w:rsidR="004B417C" w:rsidRPr="004A206C" w:rsidRDefault="004B417C"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b/>
                <w:bCs/>
                <w:sz w:val="18"/>
                <w:szCs w:val="18"/>
                <w:lang w:val="el-GR" w:eastAsia="el-GR"/>
              </w:rPr>
            </w:pPr>
            <w:r w:rsidRPr="004A206C">
              <w:rPr>
                <w:b/>
                <w:bCs/>
                <w:sz w:val="18"/>
                <w:szCs w:val="18"/>
                <w:lang w:val="el-GR" w:eastAsia="el-GR"/>
              </w:rPr>
              <w:t>30.705</w:t>
            </w:r>
          </w:p>
        </w:tc>
        <w:tc>
          <w:tcPr>
            <w:tcW w:w="1300" w:type="dxa"/>
            <w:tcBorders>
              <w:top w:val="single" w:sz="4" w:space="0" w:color="auto"/>
              <w:left w:val="nil"/>
              <w:bottom w:val="single" w:sz="12" w:space="0" w:color="auto"/>
              <w:right w:val="nil"/>
            </w:tcBorders>
            <w:noWrap/>
            <w:vAlign w:val="bottom"/>
          </w:tcPr>
          <w:p w:rsidR="004B417C" w:rsidRPr="004A206C" w:rsidRDefault="004B417C"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b/>
                <w:bCs/>
                <w:sz w:val="18"/>
                <w:szCs w:val="18"/>
                <w:lang w:val="el-GR" w:eastAsia="el-GR"/>
              </w:rPr>
            </w:pPr>
            <w:r w:rsidRPr="004A206C">
              <w:rPr>
                <w:b/>
                <w:bCs/>
                <w:sz w:val="18"/>
                <w:szCs w:val="18"/>
                <w:lang w:val="el-GR" w:eastAsia="el-GR"/>
              </w:rPr>
              <w:t>(</w:t>
            </w:r>
            <w:r w:rsidRPr="004A206C">
              <w:rPr>
                <w:b/>
                <w:bCs/>
                <w:sz w:val="18"/>
                <w:szCs w:val="18"/>
                <w:lang w:eastAsia="el-GR"/>
              </w:rPr>
              <w:t>707</w:t>
            </w:r>
            <w:r w:rsidRPr="004A206C">
              <w:rPr>
                <w:b/>
                <w:bCs/>
                <w:sz w:val="18"/>
                <w:szCs w:val="18"/>
                <w:lang w:val="el-GR" w:eastAsia="el-GR"/>
              </w:rPr>
              <w:t>)</w:t>
            </w:r>
          </w:p>
        </w:tc>
        <w:tc>
          <w:tcPr>
            <w:tcW w:w="1218" w:type="dxa"/>
            <w:tcBorders>
              <w:top w:val="single" w:sz="4" w:space="0" w:color="auto"/>
              <w:left w:val="nil"/>
              <w:bottom w:val="single" w:sz="12" w:space="0" w:color="auto"/>
              <w:right w:val="nil"/>
            </w:tcBorders>
            <w:noWrap/>
            <w:vAlign w:val="bottom"/>
          </w:tcPr>
          <w:p w:rsidR="004B417C" w:rsidRPr="004A206C" w:rsidRDefault="004B417C"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b/>
                <w:bCs/>
                <w:sz w:val="18"/>
                <w:szCs w:val="18"/>
                <w:lang w:val="el-GR" w:eastAsia="el-GR"/>
              </w:rPr>
            </w:pPr>
            <w:r w:rsidRPr="004A206C">
              <w:rPr>
                <w:b/>
                <w:bCs/>
                <w:sz w:val="18"/>
                <w:szCs w:val="18"/>
                <w:lang w:eastAsia="el-GR"/>
              </w:rPr>
              <w:t>5.</w:t>
            </w:r>
            <w:r w:rsidRPr="004A206C">
              <w:rPr>
                <w:b/>
                <w:bCs/>
                <w:sz w:val="18"/>
                <w:szCs w:val="18"/>
                <w:lang w:val="el-GR" w:eastAsia="el-GR"/>
              </w:rPr>
              <w:t>492</w:t>
            </w:r>
          </w:p>
        </w:tc>
        <w:tc>
          <w:tcPr>
            <w:tcW w:w="1420" w:type="dxa"/>
            <w:tcBorders>
              <w:top w:val="single" w:sz="4" w:space="0" w:color="auto"/>
              <w:left w:val="nil"/>
              <w:bottom w:val="single" w:sz="12" w:space="0" w:color="auto"/>
              <w:right w:val="nil"/>
            </w:tcBorders>
            <w:noWrap/>
            <w:vAlign w:val="bottom"/>
          </w:tcPr>
          <w:p w:rsidR="004B417C" w:rsidRPr="004A206C" w:rsidRDefault="004B417C"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b/>
                <w:bCs/>
                <w:sz w:val="18"/>
                <w:szCs w:val="18"/>
                <w:lang w:val="el-GR" w:eastAsia="el-GR"/>
              </w:rPr>
            </w:pPr>
            <w:r w:rsidRPr="004A206C">
              <w:rPr>
                <w:b/>
                <w:bCs/>
                <w:sz w:val="18"/>
                <w:szCs w:val="18"/>
                <w:lang w:val="el-GR" w:eastAsia="el-GR"/>
              </w:rPr>
              <w:t>(</w:t>
            </w:r>
            <w:r w:rsidRPr="004A206C">
              <w:rPr>
                <w:b/>
                <w:bCs/>
                <w:sz w:val="18"/>
                <w:szCs w:val="18"/>
                <w:lang w:eastAsia="el-GR"/>
              </w:rPr>
              <w:t>24.210</w:t>
            </w:r>
            <w:r w:rsidRPr="004A206C">
              <w:rPr>
                <w:b/>
                <w:bCs/>
                <w:sz w:val="18"/>
                <w:szCs w:val="18"/>
                <w:lang w:val="el-GR" w:eastAsia="el-GR"/>
              </w:rPr>
              <w:t>)</w:t>
            </w:r>
          </w:p>
        </w:tc>
        <w:tc>
          <w:tcPr>
            <w:tcW w:w="1340" w:type="dxa"/>
            <w:tcBorders>
              <w:top w:val="single" w:sz="4" w:space="0" w:color="auto"/>
              <w:left w:val="nil"/>
              <w:bottom w:val="single" w:sz="12" w:space="0" w:color="auto"/>
              <w:right w:val="nil"/>
            </w:tcBorders>
            <w:noWrap/>
            <w:vAlign w:val="bottom"/>
          </w:tcPr>
          <w:p w:rsidR="004B417C" w:rsidRPr="004A206C" w:rsidRDefault="004B417C"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b/>
                <w:bCs/>
                <w:sz w:val="18"/>
                <w:szCs w:val="18"/>
                <w:lang w:eastAsia="el-GR"/>
              </w:rPr>
            </w:pPr>
            <w:r w:rsidRPr="004A206C">
              <w:rPr>
                <w:b/>
                <w:bCs/>
                <w:sz w:val="18"/>
                <w:szCs w:val="18"/>
                <w:lang w:eastAsia="el-GR"/>
              </w:rPr>
              <w:t>11.280</w:t>
            </w:r>
          </w:p>
        </w:tc>
      </w:tr>
      <w:tr w:rsidR="004B417C" w:rsidRPr="00860F4B">
        <w:trPr>
          <w:trHeight w:val="255"/>
        </w:trPr>
        <w:tc>
          <w:tcPr>
            <w:tcW w:w="3400" w:type="dxa"/>
            <w:tcBorders>
              <w:left w:val="nil"/>
              <w:bottom w:val="dotted" w:sz="4" w:space="0" w:color="auto"/>
              <w:right w:val="nil"/>
            </w:tcBorders>
            <w:vAlign w:val="bottom"/>
          </w:tcPr>
          <w:p w:rsidR="004B417C" w:rsidRPr="004A206C" w:rsidRDefault="004B417C"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b/>
                <w:sz w:val="18"/>
                <w:szCs w:val="18"/>
                <w:lang w:val="el-GR" w:eastAsia="el-GR"/>
              </w:rPr>
            </w:pPr>
          </w:p>
        </w:tc>
        <w:tc>
          <w:tcPr>
            <w:tcW w:w="1676" w:type="dxa"/>
            <w:tcBorders>
              <w:left w:val="nil"/>
              <w:bottom w:val="dotted" w:sz="4" w:space="0" w:color="auto"/>
              <w:right w:val="nil"/>
            </w:tcBorders>
            <w:vAlign w:val="bottom"/>
          </w:tcPr>
          <w:p w:rsidR="004B417C" w:rsidRPr="004A206C" w:rsidRDefault="004B417C"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 w:val="18"/>
                <w:szCs w:val="18"/>
                <w:lang w:val="el-GR" w:eastAsia="el-GR"/>
              </w:rPr>
            </w:pPr>
            <w:r w:rsidRPr="004A206C">
              <w:rPr>
                <w:sz w:val="18"/>
                <w:szCs w:val="18"/>
                <w:lang w:val="el-GR" w:eastAsia="el-GR"/>
              </w:rPr>
              <w:t> </w:t>
            </w:r>
          </w:p>
        </w:tc>
        <w:tc>
          <w:tcPr>
            <w:tcW w:w="1300" w:type="dxa"/>
            <w:tcBorders>
              <w:left w:val="nil"/>
              <w:bottom w:val="dotted" w:sz="4" w:space="0" w:color="auto"/>
              <w:right w:val="nil"/>
            </w:tcBorders>
            <w:vAlign w:val="bottom"/>
          </w:tcPr>
          <w:p w:rsidR="004B417C" w:rsidRPr="004A206C" w:rsidRDefault="004B417C"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sz w:val="18"/>
                <w:szCs w:val="18"/>
                <w:lang w:val="el-GR" w:eastAsia="el-GR"/>
              </w:rPr>
            </w:pPr>
            <w:r w:rsidRPr="004A206C">
              <w:rPr>
                <w:sz w:val="18"/>
                <w:szCs w:val="18"/>
                <w:lang w:val="el-GR" w:eastAsia="el-GR"/>
              </w:rPr>
              <w:t> </w:t>
            </w:r>
          </w:p>
        </w:tc>
        <w:tc>
          <w:tcPr>
            <w:tcW w:w="1218" w:type="dxa"/>
            <w:tcBorders>
              <w:left w:val="nil"/>
              <w:bottom w:val="dotted" w:sz="4" w:space="0" w:color="auto"/>
              <w:right w:val="nil"/>
            </w:tcBorders>
            <w:vAlign w:val="bottom"/>
          </w:tcPr>
          <w:p w:rsidR="004B417C" w:rsidRPr="004A206C" w:rsidRDefault="004B417C"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 w:val="18"/>
                <w:szCs w:val="18"/>
                <w:lang w:val="el-GR" w:eastAsia="el-GR"/>
              </w:rPr>
            </w:pPr>
            <w:r w:rsidRPr="004A206C">
              <w:rPr>
                <w:sz w:val="18"/>
                <w:szCs w:val="18"/>
                <w:lang w:val="el-GR" w:eastAsia="el-GR"/>
              </w:rPr>
              <w:t> </w:t>
            </w:r>
          </w:p>
        </w:tc>
        <w:tc>
          <w:tcPr>
            <w:tcW w:w="1420" w:type="dxa"/>
            <w:tcBorders>
              <w:left w:val="nil"/>
              <w:bottom w:val="dotted" w:sz="4" w:space="0" w:color="auto"/>
              <w:right w:val="nil"/>
            </w:tcBorders>
            <w:vAlign w:val="bottom"/>
          </w:tcPr>
          <w:p w:rsidR="004B417C" w:rsidRPr="004A206C" w:rsidRDefault="004B417C"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sz w:val="18"/>
                <w:szCs w:val="18"/>
                <w:lang w:val="el-GR" w:eastAsia="el-GR"/>
              </w:rPr>
            </w:pPr>
            <w:r w:rsidRPr="004A206C">
              <w:rPr>
                <w:sz w:val="18"/>
                <w:szCs w:val="18"/>
                <w:lang w:val="el-GR" w:eastAsia="el-GR"/>
              </w:rPr>
              <w:t> </w:t>
            </w:r>
          </w:p>
        </w:tc>
        <w:tc>
          <w:tcPr>
            <w:tcW w:w="1340" w:type="dxa"/>
            <w:tcBorders>
              <w:left w:val="nil"/>
              <w:bottom w:val="dotted" w:sz="4" w:space="0" w:color="auto"/>
              <w:right w:val="nil"/>
            </w:tcBorders>
            <w:vAlign w:val="bottom"/>
          </w:tcPr>
          <w:p w:rsidR="004B417C" w:rsidRPr="004A206C" w:rsidRDefault="004B417C"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 w:val="18"/>
                <w:szCs w:val="18"/>
                <w:lang w:val="el-GR" w:eastAsia="el-GR"/>
              </w:rPr>
            </w:pPr>
          </w:p>
        </w:tc>
      </w:tr>
      <w:tr w:rsidR="004B417C" w:rsidRPr="00860F4B">
        <w:trPr>
          <w:trHeight w:val="231"/>
        </w:trPr>
        <w:tc>
          <w:tcPr>
            <w:tcW w:w="3400" w:type="dxa"/>
            <w:tcBorders>
              <w:top w:val="dotted" w:sz="4" w:space="0" w:color="auto"/>
              <w:left w:val="nil"/>
              <w:bottom w:val="dotted" w:sz="4" w:space="0" w:color="auto"/>
              <w:right w:val="nil"/>
            </w:tcBorders>
            <w:vAlign w:val="bottom"/>
          </w:tcPr>
          <w:p w:rsidR="004B417C" w:rsidRPr="004A206C" w:rsidRDefault="004B417C"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sz w:val="18"/>
                <w:szCs w:val="18"/>
                <w:lang w:eastAsia="el-GR"/>
              </w:rPr>
            </w:pPr>
            <w:r w:rsidRPr="004A206C">
              <w:rPr>
                <w:sz w:val="18"/>
                <w:szCs w:val="18"/>
                <w:lang w:val="el-GR" w:eastAsia="el-GR"/>
              </w:rPr>
              <w:t>Ζημίες περιόδου 1/1 - 31/12/201</w:t>
            </w:r>
            <w:r w:rsidRPr="004A206C">
              <w:rPr>
                <w:sz w:val="18"/>
                <w:szCs w:val="18"/>
                <w:lang w:eastAsia="el-GR"/>
              </w:rPr>
              <w:t>1</w:t>
            </w:r>
          </w:p>
        </w:tc>
        <w:tc>
          <w:tcPr>
            <w:tcW w:w="1676" w:type="dxa"/>
            <w:tcBorders>
              <w:top w:val="dotted" w:sz="4" w:space="0" w:color="auto"/>
              <w:left w:val="nil"/>
              <w:bottom w:val="dotted" w:sz="4" w:space="0" w:color="auto"/>
              <w:right w:val="nil"/>
            </w:tcBorders>
            <w:vAlign w:val="bottom"/>
          </w:tcPr>
          <w:p w:rsidR="004B417C" w:rsidRPr="004A206C" w:rsidRDefault="004B417C"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 w:val="18"/>
                <w:szCs w:val="18"/>
                <w:lang w:val="el-GR" w:eastAsia="el-GR"/>
              </w:rPr>
            </w:pPr>
            <w:r w:rsidRPr="004A206C">
              <w:rPr>
                <w:sz w:val="18"/>
                <w:szCs w:val="18"/>
                <w:lang w:val="el-GR" w:eastAsia="el-GR"/>
              </w:rPr>
              <w:t>-</w:t>
            </w:r>
          </w:p>
        </w:tc>
        <w:tc>
          <w:tcPr>
            <w:tcW w:w="1300" w:type="dxa"/>
            <w:tcBorders>
              <w:top w:val="dotted" w:sz="4" w:space="0" w:color="auto"/>
              <w:left w:val="nil"/>
              <w:bottom w:val="dotted" w:sz="4" w:space="0" w:color="auto"/>
              <w:right w:val="nil"/>
            </w:tcBorders>
            <w:vAlign w:val="bottom"/>
          </w:tcPr>
          <w:p w:rsidR="004B417C" w:rsidRPr="004A206C" w:rsidRDefault="004B417C"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 w:val="18"/>
                <w:szCs w:val="18"/>
                <w:lang w:val="el-GR" w:eastAsia="el-GR"/>
              </w:rPr>
            </w:pPr>
            <w:r w:rsidRPr="004A206C">
              <w:rPr>
                <w:sz w:val="18"/>
                <w:szCs w:val="18"/>
                <w:lang w:val="el-GR" w:eastAsia="el-GR"/>
              </w:rPr>
              <w:t>-</w:t>
            </w:r>
          </w:p>
        </w:tc>
        <w:tc>
          <w:tcPr>
            <w:tcW w:w="1218" w:type="dxa"/>
            <w:tcBorders>
              <w:top w:val="dotted" w:sz="4" w:space="0" w:color="auto"/>
              <w:left w:val="nil"/>
              <w:bottom w:val="dotted" w:sz="4" w:space="0" w:color="auto"/>
              <w:right w:val="nil"/>
            </w:tcBorders>
            <w:vAlign w:val="bottom"/>
          </w:tcPr>
          <w:p w:rsidR="004B417C" w:rsidRPr="004A206C" w:rsidRDefault="004B417C"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 w:val="18"/>
                <w:szCs w:val="18"/>
                <w:lang w:val="el-GR" w:eastAsia="el-GR"/>
              </w:rPr>
            </w:pPr>
            <w:r w:rsidRPr="004A206C">
              <w:rPr>
                <w:sz w:val="18"/>
                <w:szCs w:val="18"/>
                <w:lang w:val="el-GR" w:eastAsia="el-GR"/>
              </w:rPr>
              <w:t>-</w:t>
            </w:r>
          </w:p>
        </w:tc>
        <w:tc>
          <w:tcPr>
            <w:tcW w:w="1420" w:type="dxa"/>
            <w:tcBorders>
              <w:top w:val="dotted" w:sz="4" w:space="0" w:color="auto"/>
              <w:left w:val="nil"/>
              <w:bottom w:val="dotted" w:sz="4" w:space="0" w:color="auto"/>
              <w:right w:val="nil"/>
            </w:tcBorders>
            <w:vAlign w:val="bottom"/>
          </w:tcPr>
          <w:p w:rsidR="004B417C" w:rsidRPr="004A206C" w:rsidRDefault="004B417C"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 w:val="18"/>
                <w:szCs w:val="18"/>
                <w:lang w:eastAsia="el-GR"/>
              </w:rPr>
            </w:pPr>
            <w:r w:rsidRPr="004A206C">
              <w:rPr>
                <w:sz w:val="18"/>
                <w:szCs w:val="18"/>
                <w:lang w:eastAsia="el-GR"/>
              </w:rPr>
              <w:t>(</w:t>
            </w:r>
            <w:r w:rsidRPr="004A206C">
              <w:rPr>
                <w:sz w:val="18"/>
                <w:szCs w:val="18"/>
                <w:lang w:val="el-GR" w:eastAsia="el-GR"/>
              </w:rPr>
              <w:t>71</w:t>
            </w:r>
            <w:r w:rsidRPr="004A206C">
              <w:rPr>
                <w:sz w:val="18"/>
                <w:szCs w:val="18"/>
                <w:lang w:eastAsia="el-GR"/>
              </w:rPr>
              <w:t>.</w:t>
            </w:r>
            <w:r>
              <w:rPr>
                <w:sz w:val="18"/>
                <w:szCs w:val="18"/>
                <w:lang w:val="el-GR" w:eastAsia="el-GR"/>
              </w:rPr>
              <w:t>850</w:t>
            </w:r>
            <w:r w:rsidRPr="004A206C">
              <w:rPr>
                <w:sz w:val="18"/>
                <w:szCs w:val="18"/>
                <w:lang w:eastAsia="el-GR"/>
              </w:rPr>
              <w:t>)</w:t>
            </w:r>
          </w:p>
        </w:tc>
        <w:tc>
          <w:tcPr>
            <w:tcW w:w="1340" w:type="dxa"/>
            <w:tcBorders>
              <w:top w:val="dotted" w:sz="4" w:space="0" w:color="auto"/>
              <w:left w:val="nil"/>
              <w:bottom w:val="dotted" w:sz="4" w:space="0" w:color="auto"/>
              <w:right w:val="nil"/>
            </w:tcBorders>
            <w:vAlign w:val="bottom"/>
          </w:tcPr>
          <w:p w:rsidR="004B417C" w:rsidRPr="004A206C" w:rsidRDefault="004B417C"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 w:val="18"/>
                <w:szCs w:val="18"/>
                <w:lang w:eastAsia="el-GR"/>
              </w:rPr>
            </w:pPr>
            <w:r w:rsidRPr="004A206C">
              <w:rPr>
                <w:sz w:val="18"/>
                <w:szCs w:val="18"/>
                <w:lang w:eastAsia="el-GR"/>
              </w:rPr>
              <w:t>(</w:t>
            </w:r>
            <w:r>
              <w:rPr>
                <w:sz w:val="18"/>
                <w:szCs w:val="18"/>
                <w:lang w:val="el-GR" w:eastAsia="el-GR"/>
              </w:rPr>
              <w:t>71.850</w:t>
            </w:r>
            <w:r w:rsidRPr="004A206C">
              <w:rPr>
                <w:sz w:val="18"/>
                <w:szCs w:val="18"/>
                <w:lang w:eastAsia="el-GR"/>
              </w:rPr>
              <w:t>)</w:t>
            </w:r>
          </w:p>
        </w:tc>
      </w:tr>
      <w:tr w:rsidR="004B417C" w:rsidRPr="00860F4B">
        <w:trPr>
          <w:trHeight w:val="495"/>
        </w:trPr>
        <w:tc>
          <w:tcPr>
            <w:tcW w:w="3400" w:type="dxa"/>
            <w:tcBorders>
              <w:top w:val="nil"/>
              <w:left w:val="nil"/>
              <w:bottom w:val="single" w:sz="4" w:space="0" w:color="auto"/>
              <w:right w:val="nil"/>
            </w:tcBorders>
            <w:vAlign w:val="bottom"/>
          </w:tcPr>
          <w:p w:rsidR="004B417C" w:rsidRPr="004A206C" w:rsidRDefault="004B417C"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sz w:val="18"/>
                <w:szCs w:val="18"/>
                <w:lang w:val="el-GR" w:eastAsia="el-GR"/>
              </w:rPr>
            </w:pPr>
            <w:r w:rsidRPr="004A206C">
              <w:rPr>
                <w:sz w:val="18"/>
                <w:szCs w:val="18"/>
                <w:lang w:val="el-GR" w:eastAsia="el-GR"/>
              </w:rPr>
              <w:t>Μεταβολή περιόδου χρεογράφων διαθεσίμων προς πώληση</w:t>
            </w:r>
          </w:p>
        </w:tc>
        <w:tc>
          <w:tcPr>
            <w:tcW w:w="1676" w:type="dxa"/>
            <w:tcBorders>
              <w:top w:val="nil"/>
              <w:left w:val="nil"/>
              <w:bottom w:val="single" w:sz="4" w:space="0" w:color="auto"/>
              <w:right w:val="nil"/>
            </w:tcBorders>
            <w:vAlign w:val="bottom"/>
          </w:tcPr>
          <w:p w:rsidR="004B417C" w:rsidRPr="004A206C" w:rsidRDefault="004B417C"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 w:val="18"/>
                <w:szCs w:val="18"/>
                <w:lang w:val="el-GR" w:eastAsia="el-GR"/>
              </w:rPr>
            </w:pPr>
            <w:r w:rsidRPr="004A206C">
              <w:rPr>
                <w:sz w:val="18"/>
                <w:szCs w:val="18"/>
                <w:lang w:val="el-GR" w:eastAsia="el-GR"/>
              </w:rPr>
              <w:t>-</w:t>
            </w:r>
          </w:p>
        </w:tc>
        <w:tc>
          <w:tcPr>
            <w:tcW w:w="1300" w:type="dxa"/>
            <w:tcBorders>
              <w:top w:val="nil"/>
              <w:left w:val="nil"/>
              <w:bottom w:val="single" w:sz="4" w:space="0" w:color="auto"/>
              <w:right w:val="nil"/>
            </w:tcBorders>
            <w:vAlign w:val="bottom"/>
          </w:tcPr>
          <w:p w:rsidR="004B417C" w:rsidRPr="004A206C" w:rsidRDefault="004B417C"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 w:val="18"/>
                <w:szCs w:val="18"/>
                <w:lang w:val="el-GR" w:eastAsia="el-GR"/>
              </w:rPr>
            </w:pPr>
            <w:r w:rsidRPr="004A206C">
              <w:rPr>
                <w:sz w:val="18"/>
                <w:szCs w:val="18"/>
                <w:lang w:val="el-GR" w:eastAsia="el-GR"/>
              </w:rPr>
              <w:t>(795)</w:t>
            </w:r>
          </w:p>
        </w:tc>
        <w:tc>
          <w:tcPr>
            <w:tcW w:w="1218" w:type="dxa"/>
            <w:tcBorders>
              <w:top w:val="nil"/>
              <w:left w:val="nil"/>
              <w:bottom w:val="single" w:sz="4" w:space="0" w:color="auto"/>
              <w:right w:val="nil"/>
            </w:tcBorders>
            <w:vAlign w:val="bottom"/>
          </w:tcPr>
          <w:p w:rsidR="004B417C" w:rsidRPr="004A206C" w:rsidRDefault="004B417C"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 w:val="18"/>
                <w:szCs w:val="18"/>
                <w:lang w:val="el-GR" w:eastAsia="el-GR"/>
              </w:rPr>
            </w:pPr>
            <w:r w:rsidRPr="004A206C">
              <w:rPr>
                <w:sz w:val="18"/>
                <w:szCs w:val="18"/>
                <w:lang w:val="el-GR" w:eastAsia="el-GR"/>
              </w:rPr>
              <w:t>-</w:t>
            </w:r>
          </w:p>
        </w:tc>
        <w:tc>
          <w:tcPr>
            <w:tcW w:w="1420" w:type="dxa"/>
            <w:tcBorders>
              <w:top w:val="nil"/>
              <w:left w:val="nil"/>
              <w:bottom w:val="single" w:sz="4" w:space="0" w:color="auto"/>
              <w:right w:val="nil"/>
            </w:tcBorders>
            <w:vAlign w:val="bottom"/>
          </w:tcPr>
          <w:p w:rsidR="004B417C" w:rsidRPr="004A206C" w:rsidRDefault="004B417C"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 w:val="18"/>
                <w:szCs w:val="18"/>
                <w:lang w:val="el-GR" w:eastAsia="el-GR"/>
              </w:rPr>
            </w:pPr>
            <w:r w:rsidRPr="004A206C">
              <w:rPr>
                <w:sz w:val="18"/>
                <w:szCs w:val="18"/>
                <w:lang w:val="el-GR" w:eastAsia="el-GR"/>
              </w:rPr>
              <w:t>-</w:t>
            </w:r>
          </w:p>
        </w:tc>
        <w:tc>
          <w:tcPr>
            <w:tcW w:w="1340" w:type="dxa"/>
            <w:tcBorders>
              <w:top w:val="nil"/>
              <w:left w:val="nil"/>
              <w:bottom w:val="single" w:sz="4" w:space="0" w:color="auto"/>
              <w:right w:val="nil"/>
            </w:tcBorders>
            <w:vAlign w:val="bottom"/>
          </w:tcPr>
          <w:p w:rsidR="004B417C" w:rsidRPr="004A206C" w:rsidRDefault="004B417C"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 w:val="18"/>
                <w:szCs w:val="18"/>
                <w:lang w:val="el-GR" w:eastAsia="el-GR"/>
              </w:rPr>
            </w:pPr>
            <w:r w:rsidRPr="004A206C">
              <w:rPr>
                <w:sz w:val="18"/>
                <w:szCs w:val="18"/>
                <w:lang w:val="el-GR" w:eastAsia="el-GR"/>
              </w:rPr>
              <w:t>( 795)</w:t>
            </w:r>
          </w:p>
        </w:tc>
      </w:tr>
      <w:tr w:rsidR="004B417C" w:rsidRPr="00DB6072">
        <w:trPr>
          <w:trHeight w:val="495"/>
        </w:trPr>
        <w:tc>
          <w:tcPr>
            <w:tcW w:w="3400" w:type="dxa"/>
            <w:tcBorders>
              <w:top w:val="single" w:sz="4" w:space="0" w:color="auto"/>
              <w:left w:val="nil"/>
              <w:bottom w:val="single" w:sz="8" w:space="0" w:color="auto"/>
              <w:right w:val="nil"/>
            </w:tcBorders>
            <w:vAlign w:val="bottom"/>
          </w:tcPr>
          <w:p w:rsidR="004B417C" w:rsidRPr="004A206C" w:rsidRDefault="004B417C"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b/>
                <w:sz w:val="18"/>
                <w:szCs w:val="18"/>
                <w:lang w:val="el-GR" w:eastAsia="el-GR"/>
              </w:rPr>
            </w:pPr>
            <w:r w:rsidRPr="004A206C">
              <w:rPr>
                <w:b/>
                <w:sz w:val="18"/>
                <w:szCs w:val="18"/>
                <w:lang w:val="el-GR" w:eastAsia="el-GR"/>
              </w:rPr>
              <w:t>Συγκεντρωτικά συνολικά έσοδα μετά από φόρους</w:t>
            </w:r>
          </w:p>
        </w:tc>
        <w:tc>
          <w:tcPr>
            <w:tcW w:w="1676" w:type="dxa"/>
            <w:tcBorders>
              <w:top w:val="single" w:sz="4" w:space="0" w:color="auto"/>
              <w:left w:val="nil"/>
              <w:bottom w:val="single" w:sz="8" w:space="0" w:color="auto"/>
              <w:right w:val="nil"/>
            </w:tcBorders>
            <w:vAlign w:val="bottom"/>
          </w:tcPr>
          <w:p w:rsidR="004B417C" w:rsidRPr="004A206C" w:rsidRDefault="004B417C"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b/>
                <w:sz w:val="18"/>
                <w:szCs w:val="18"/>
                <w:lang w:val="el-GR" w:eastAsia="el-GR"/>
              </w:rPr>
            </w:pPr>
            <w:r w:rsidRPr="004A206C">
              <w:rPr>
                <w:b/>
                <w:sz w:val="18"/>
                <w:szCs w:val="18"/>
                <w:lang w:val="el-GR" w:eastAsia="el-GR"/>
              </w:rPr>
              <w:t>-</w:t>
            </w:r>
          </w:p>
        </w:tc>
        <w:tc>
          <w:tcPr>
            <w:tcW w:w="1300" w:type="dxa"/>
            <w:tcBorders>
              <w:top w:val="single" w:sz="4" w:space="0" w:color="auto"/>
              <w:left w:val="nil"/>
              <w:bottom w:val="single" w:sz="8" w:space="0" w:color="auto"/>
              <w:right w:val="nil"/>
            </w:tcBorders>
            <w:vAlign w:val="bottom"/>
          </w:tcPr>
          <w:p w:rsidR="004B417C" w:rsidRPr="004A206C" w:rsidRDefault="004B417C"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b/>
                <w:sz w:val="18"/>
                <w:szCs w:val="18"/>
                <w:lang w:val="el-GR" w:eastAsia="el-GR"/>
              </w:rPr>
            </w:pPr>
            <w:r w:rsidRPr="004A206C">
              <w:rPr>
                <w:b/>
                <w:sz w:val="18"/>
                <w:szCs w:val="18"/>
                <w:lang w:val="el-GR" w:eastAsia="el-GR"/>
              </w:rPr>
              <w:t>(1.502)</w:t>
            </w:r>
          </w:p>
        </w:tc>
        <w:tc>
          <w:tcPr>
            <w:tcW w:w="1218" w:type="dxa"/>
            <w:tcBorders>
              <w:top w:val="single" w:sz="4" w:space="0" w:color="auto"/>
              <w:left w:val="nil"/>
              <w:bottom w:val="single" w:sz="8" w:space="0" w:color="auto"/>
              <w:right w:val="nil"/>
            </w:tcBorders>
            <w:vAlign w:val="bottom"/>
          </w:tcPr>
          <w:p w:rsidR="004B417C" w:rsidRPr="004A206C" w:rsidRDefault="004B417C"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b/>
                <w:sz w:val="18"/>
                <w:szCs w:val="18"/>
                <w:lang w:val="el-GR" w:eastAsia="el-GR"/>
              </w:rPr>
            </w:pPr>
            <w:r w:rsidRPr="004A206C">
              <w:rPr>
                <w:b/>
                <w:sz w:val="18"/>
                <w:szCs w:val="18"/>
                <w:lang w:val="el-GR" w:eastAsia="el-GR"/>
              </w:rPr>
              <w:t>5.492</w:t>
            </w:r>
          </w:p>
        </w:tc>
        <w:tc>
          <w:tcPr>
            <w:tcW w:w="1420" w:type="dxa"/>
            <w:tcBorders>
              <w:top w:val="single" w:sz="4" w:space="0" w:color="auto"/>
              <w:left w:val="nil"/>
              <w:bottom w:val="single" w:sz="8" w:space="0" w:color="auto"/>
              <w:right w:val="nil"/>
            </w:tcBorders>
            <w:vAlign w:val="bottom"/>
          </w:tcPr>
          <w:p w:rsidR="004B417C" w:rsidRPr="004A206C" w:rsidRDefault="004B417C"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b/>
                <w:sz w:val="18"/>
                <w:szCs w:val="18"/>
                <w:lang w:eastAsia="el-GR"/>
              </w:rPr>
            </w:pPr>
            <w:r w:rsidRPr="004A206C">
              <w:rPr>
                <w:b/>
                <w:sz w:val="18"/>
                <w:szCs w:val="18"/>
                <w:lang w:eastAsia="el-GR"/>
              </w:rPr>
              <w:t>(</w:t>
            </w:r>
            <w:r>
              <w:rPr>
                <w:b/>
                <w:sz w:val="18"/>
                <w:szCs w:val="18"/>
                <w:lang w:val="el-GR" w:eastAsia="el-GR"/>
              </w:rPr>
              <w:t>96</w:t>
            </w:r>
            <w:r w:rsidRPr="004A206C">
              <w:rPr>
                <w:b/>
                <w:sz w:val="18"/>
                <w:szCs w:val="18"/>
                <w:lang w:eastAsia="el-GR"/>
              </w:rPr>
              <w:t>.</w:t>
            </w:r>
            <w:r>
              <w:rPr>
                <w:b/>
                <w:sz w:val="18"/>
                <w:szCs w:val="18"/>
                <w:lang w:val="el-GR" w:eastAsia="el-GR"/>
              </w:rPr>
              <w:t>060</w:t>
            </w:r>
            <w:r w:rsidRPr="004A206C">
              <w:rPr>
                <w:b/>
                <w:sz w:val="18"/>
                <w:szCs w:val="18"/>
                <w:lang w:eastAsia="el-GR"/>
              </w:rPr>
              <w:t>)</w:t>
            </w:r>
          </w:p>
        </w:tc>
        <w:tc>
          <w:tcPr>
            <w:tcW w:w="1340" w:type="dxa"/>
            <w:tcBorders>
              <w:top w:val="single" w:sz="4" w:space="0" w:color="auto"/>
              <w:left w:val="nil"/>
              <w:bottom w:val="single" w:sz="8" w:space="0" w:color="auto"/>
              <w:right w:val="nil"/>
            </w:tcBorders>
            <w:vAlign w:val="bottom"/>
          </w:tcPr>
          <w:p w:rsidR="004B417C" w:rsidRPr="004A206C" w:rsidRDefault="004B417C"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b/>
                <w:sz w:val="18"/>
                <w:szCs w:val="18"/>
                <w:lang w:eastAsia="el-GR"/>
              </w:rPr>
            </w:pPr>
            <w:r w:rsidRPr="004A206C">
              <w:rPr>
                <w:b/>
                <w:sz w:val="18"/>
                <w:szCs w:val="18"/>
                <w:lang w:eastAsia="el-GR"/>
              </w:rPr>
              <w:t>(6</w:t>
            </w:r>
            <w:r w:rsidRPr="004A206C">
              <w:rPr>
                <w:b/>
                <w:sz w:val="18"/>
                <w:szCs w:val="18"/>
                <w:lang w:val="el-GR" w:eastAsia="el-GR"/>
              </w:rPr>
              <w:t>1</w:t>
            </w:r>
            <w:r w:rsidRPr="004A206C">
              <w:rPr>
                <w:b/>
                <w:sz w:val="18"/>
                <w:szCs w:val="18"/>
                <w:lang w:eastAsia="el-GR"/>
              </w:rPr>
              <w:t>.</w:t>
            </w:r>
            <w:r>
              <w:rPr>
                <w:b/>
                <w:sz w:val="18"/>
                <w:szCs w:val="18"/>
                <w:lang w:val="el-GR" w:eastAsia="el-GR"/>
              </w:rPr>
              <w:t>365</w:t>
            </w:r>
            <w:r w:rsidRPr="004A206C">
              <w:rPr>
                <w:b/>
                <w:sz w:val="18"/>
                <w:szCs w:val="18"/>
                <w:lang w:eastAsia="el-GR"/>
              </w:rPr>
              <w:t>)</w:t>
            </w:r>
          </w:p>
        </w:tc>
      </w:tr>
      <w:tr w:rsidR="004B417C" w:rsidRPr="00860F4B">
        <w:trPr>
          <w:trHeight w:val="255"/>
        </w:trPr>
        <w:tc>
          <w:tcPr>
            <w:tcW w:w="3400" w:type="dxa"/>
            <w:tcBorders>
              <w:top w:val="single" w:sz="4" w:space="0" w:color="auto"/>
              <w:left w:val="nil"/>
              <w:bottom w:val="nil"/>
              <w:right w:val="nil"/>
            </w:tcBorders>
            <w:noWrap/>
            <w:vAlign w:val="bottom"/>
          </w:tcPr>
          <w:p w:rsidR="004B417C" w:rsidRPr="004A206C" w:rsidRDefault="004B417C"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sz w:val="18"/>
                <w:szCs w:val="18"/>
                <w:lang w:val="el-GR" w:eastAsia="el-GR"/>
              </w:rPr>
            </w:pPr>
          </w:p>
        </w:tc>
        <w:tc>
          <w:tcPr>
            <w:tcW w:w="1676" w:type="dxa"/>
            <w:tcBorders>
              <w:top w:val="single" w:sz="4" w:space="0" w:color="auto"/>
              <w:left w:val="nil"/>
              <w:bottom w:val="nil"/>
              <w:right w:val="nil"/>
            </w:tcBorders>
            <w:noWrap/>
            <w:vAlign w:val="bottom"/>
          </w:tcPr>
          <w:p w:rsidR="004B417C" w:rsidRPr="004A206C" w:rsidRDefault="004B417C"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sz w:val="18"/>
                <w:szCs w:val="18"/>
                <w:lang w:val="el-GR" w:eastAsia="el-GR"/>
              </w:rPr>
            </w:pPr>
          </w:p>
        </w:tc>
        <w:tc>
          <w:tcPr>
            <w:tcW w:w="1300" w:type="dxa"/>
            <w:tcBorders>
              <w:top w:val="single" w:sz="4" w:space="0" w:color="auto"/>
              <w:left w:val="nil"/>
              <w:bottom w:val="nil"/>
              <w:right w:val="nil"/>
            </w:tcBorders>
            <w:noWrap/>
            <w:vAlign w:val="bottom"/>
          </w:tcPr>
          <w:p w:rsidR="004B417C" w:rsidRPr="004A206C" w:rsidRDefault="004B417C"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sz w:val="18"/>
                <w:szCs w:val="18"/>
                <w:lang w:val="el-GR" w:eastAsia="el-GR"/>
              </w:rPr>
            </w:pPr>
          </w:p>
        </w:tc>
        <w:tc>
          <w:tcPr>
            <w:tcW w:w="1218" w:type="dxa"/>
            <w:tcBorders>
              <w:top w:val="single" w:sz="4" w:space="0" w:color="auto"/>
              <w:left w:val="nil"/>
              <w:bottom w:val="nil"/>
              <w:right w:val="nil"/>
            </w:tcBorders>
            <w:noWrap/>
            <w:vAlign w:val="bottom"/>
          </w:tcPr>
          <w:p w:rsidR="004B417C" w:rsidRPr="004A206C" w:rsidRDefault="004B417C"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sz w:val="18"/>
                <w:szCs w:val="18"/>
                <w:lang w:val="el-GR" w:eastAsia="el-GR"/>
              </w:rPr>
            </w:pPr>
          </w:p>
        </w:tc>
        <w:tc>
          <w:tcPr>
            <w:tcW w:w="1420" w:type="dxa"/>
            <w:tcBorders>
              <w:top w:val="single" w:sz="4" w:space="0" w:color="auto"/>
              <w:left w:val="nil"/>
              <w:bottom w:val="nil"/>
              <w:right w:val="nil"/>
            </w:tcBorders>
            <w:noWrap/>
            <w:vAlign w:val="bottom"/>
          </w:tcPr>
          <w:p w:rsidR="004B417C" w:rsidRPr="004A206C" w:rsidRDefault="004B417C"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sz w:val="18"/>
                <w:szCs w:val="18"/>
                <w:lang w:val="el-GR" w:eastAsia="el-GR"/>
              </w:rPr>
            </w:pPr>
          </w:p>
        </w:tc>
        <w:tc>
          <w:tcPr>
            <w:tcW w:w="1340" w:type="dxa"/>
            <w:tcBorders>
              <w:top w:val="single" w:sz="4" w:space="0" w:color="auto"/>
              <w:left w:val="nil"/>
              <w:bottom w:val="nil"/>
              <w:right w:val="nil"/>
            </w:tcBorders>
            <w:noWrap/>
            <w:vAlign w:val="bottom"/>
          </w:tcPr>
          <w:p w:rsidR="004B417C" w:rsidRPr="004A206C" w:rsidRDefault="004B417C"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sz w:val="18"/>
                <w:szCs w:val="18"/>
                <w:lang w:val="el-GR" w:eastAsia="el-GR"/>
              </w:rPr>
            </w:pPr>
          </w:p>
        </w:tc>
      </w:tr>
      <w:tr w:rsidR="004B417C" w:rsidRPr="00860F4B">
        <w:trPr>
          <w:trHeight w:val="255"/>
        </w:trPr>
        <w:tc>
          <w:tcPr>
            <w:tcW w:w="3400" w:type="dxa"/>
            <w:tcBorders>
              <w:top w:val="single" w:sz="8" w:space="0" w:color="auto"/>
              <w:left w:val="nil"/>
              <w:bottom w:val="single" w:sz="12" w:space="0" w:color="auto"/>
              <w:right w:val="nil"/>
            </w:tcBorders>
            <w:vAlign w:val="bottom"/>
          </w:tcPr>
          <w:p w:rsidR="004B417C" w:rsidRPr="004A206C" w:rsidRDefault="004B417C"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b/>
                <w:bCs/>
                <w:sz w:val="18"/>
                <w:szCs w:val="18"/>
                <w:lang w:eastAsia="el-GR"/>
              </w:rPr>
            </w:pPr>
            <w:r w:rsidRPr="004A206C">
              <w:rPr>
                <w:b/>
                <w:bCs/>
                <w:sz w:val="18"/>
                <w:szCs w:val="18"/>
                <w:lang w:val="el-GR" w:eastAsia="el-GR"/>
              </w:rPr>
              <w:t>Υπόλοιπα 31 Δεκεμβρίου 201</w:t>
            </w:r>
            <w:r w:rsidRPr="004A206C">
              <w:rPr>
                <w:b/>
                <w:bCs/>
                <w:sz w:val="18"/>
                <w:szCs w:val="18"/>
                <w:lang w:eastAsia="el-GR"/>
              </w:rPr>
              <w:t>1</w:t>
            </w:r>
          </w:p>
        </w:tc>
        <w:tc>
          <w:tcPr>
            <w:tcW w:w="1676" w:type="dxa"/>
            <w:tcBorders>
              <w:top w:val="single" w:sz="8" w:space="0" w:color="auto"/>
              <w:left w:val="nil"/>
              <w:bottom w:val="single" w:sz="12" w:space="0" w:color="auto"/>
              <w:right w:val="nil"/>
            </w:tcBorders>
            <w:noWrap/>
            <w:vAlign w:val="bottom"/>
          </w:tcPr>
          <w:p w:rsidR="004B417C" w:rsidRPr="004A206C" w:rsidRDefault="004B417C"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b/>
                <w:bCs/>
                <w:sz w:val="18"/>
                <w:szCs w:val="18"/>
                <w:lang w:val="el-GR" w:eastAsia="el-GR"/>
              </w:rPr>
            </w:pPr>
            <w:r w:rsidRPr="004A206C">
              <w:rPr>
                <w:b/>
                <w:bCs/>
                <w:sz w:val="18"/>
                <w:szCs w:val="18"/>
                <w:lang w:val="el-GR" w:eastAsia="el-GR"/>
              </w:rPr>
              <w:t>30.705</w:t>
            </w:r>
          </w:p>
        </w:tc>
        <w:tc>
          <w:tcPr>
            <w:tcW w:w="1300" w:type="dxa"/>
            <w:tcBorders>
              <w:top w:val="single" w:sz="8" w:space="0" w:color="auto"/>
              <w:left w:val="nil"/>
              <w:bottom w:val="single" w:sz="12" w:space="0" w:color="auto"/>
              <w:right w:val="nil"/>
            </w:tcBorders>
            <w:noWrap/>
            <w:vAlign w:val="bottom"/>
          </w:tcPr>
          <w:p w:rsidR="004B417C" w:rsidRPr="004A206C" w:rsidRDefault="004B417C"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b/>
                <w:bCs/>
                <w:sz w:val="18"/>
                <w:szCs w:val="18"/>
                <w:lang w:val="el-GR" w:eastAsia="el-GR"/>
              </w:rPr>
            </w:pPr>
            <w:r w:rsidRPr="004A206C">
              <w:rPr>
                <w:b/>
                <w:bCs/>
                <w:sz w:val="18"/>
                <w:szCs w:val="18"/>
                <w:lang w:eastAsia="el-GR"/>
              </w:rPr>
              <w:t>(1.</w:t>
            </w:r>
            <w:r w:rsidRPr="004A206C">
              <w:rPr>
                <w:b/>
                <w:bCs/>
                <w:sz w:val="18"/>
                <w:szCs w:val="18"/>
                <w:lang w:val="el-GR" w:eastAsia="el-GR"/>
              </w:rPr>
              <w:t>502)</w:t>
            </w:r>
          </w:p>
        </w:tc>
        <w:tc>
          <w:tcPr>
            <w:tcW w:w="1218" w:type="dxa"/>
            <w:tcBorders>
              <w:top w:val="single" w:sz="8" w:space="0" w:color="auto"/>
              <w:left w:val="nil"/>
              <w:bottom w:val="single" w:sz="12" w:space="0" w:color="auto"/>
              <w:right w:val="nil"/>
            </w:tcBorders>
            <w:noWrap/>
            <w:vAlign w:val="bottom"/>
          </w:tcPr>
          <w:p w:rsidR="004B417C" w:rsidRPr="004A206C" w:rsidRDefault="004B417C"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b/>
                <w:bCs/>
                <w:sz w:val="18"/>
                <w:szCs w:val="18"/>
                <w:lang w:eastAsia="el-GR"/>
              </w:rPr>
            </w:pPr>
            <w:r w:rsidRPr="004A206C">
              <w:rPr>
                <w:b/>
                <w:bCs/>
                <w:sz w:val="18"/>
                <w:szCs w:val="18"/>
                <w:lang w:eastAsia="el-GR"/>
              </w:rPr>
              <w:t>5.492</w:t>
            </w:r>
          </w:p>
        </w:tc>
        <w:tc>
          <w:tcPr>
            <w:tcW w:w="1420" w:type="dxa"/>
            <w:tcBorders>
              <w:top w:val="single" w:sz="8" w:space="0" w:color="auto"/>
              <w:left w:val="nil"/>
              <w:bottom w:val="single" w:sz="12" w:space="0" w:color="auto"/>
              <w:right w:val="nil"/>
            </w:tcBorders>
            <w:noWrap/>
            <w:vAlign w:val="bottom"/>
          </w:tcPr>
          <w:p w:rsidR="004B417C" w:rsidRPr="004A206C" w:rsidRDefault="004B417C"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b/>
                <w:bCs/>
                <w:sz w:val="18"/>
                <w:szCs w:val="18"/>
                <w:lang w:eastAsia="el-GR"/>
              </w:rPr>
            </w:pPr>
            <w:r w:rsidRPr="004A206C">
              <w:rPr>
                <w:b/>
                <w:bCs/>
                <w:sz w:val="18"/>
                <w:szCs w:val="18"/>
                <w:lang w:eastAsia="el-GR"/>
              </w:rPr>
              <w:t>(9</w:t>
            </w:r>
            <w:r>
              <w:rPr>
                <w:b/>
                <w:bCs/>
                <w:sz w:val="18"/>
                <w:szCs w:val="18"/>
                <w:lang w:val="el-GR" w:eastAsia="el-GR"/>
              </w:rPr>
              <w:t>6.060</w:t>
            </w:r>
            <w:r w:rsidRPr="004A206C">
              <w:rPr>
                <w:b/>
                <w:bCs/>
                <w:sz w:val="18"/>
                <w:szCs w:val="18"/>
                <w:lang w:eastAsia="el-GR"/>
              </w:rPr>
              <w:t>)</w:t>
            </w:r>
          </w:p>
        </w:tc>
        <w:tc>
          <w:tcPr>
            <w:tcW w:w="1340" w:type="dxa"/>
            <w:tcBorders>
              <w:top w:val="single" w:sz="8" w:space="0" w:color="auto"/>
              <w:left w:val="nil"/>
              <w:bottom w:val="single" w:sz="12" w:space="0" w:color="auto"/>
              <w:right w:val="nil"/>
            </w:tcBorders>
            <w:noWrap/>
            <w:vAlign w:val="bottom"/>
          </w:tcPr>
          <w:p w:rsidR="004B417C" w:rsidRPr="004A206C" w:rsidRDefault="004B417C"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b/>
                <w:bCs/>
                <w:sz w:val="18"/>
                <w:szCs w:val="18"/>
                <w:lang w:eastAsia="el-GR"/>
              </w:rPr>
            </w:pPr>
            <w:r w:rsidRPr="004A206C">
              <w:rPr>
                <w:b/>
                <w:bCs/>
                <w:sz w:val="18"/>
                <w:szCs w:val="18"/>
                <w:lang w:eastAsia="el-GR"/>
              </w:rPr>
              <w:t>(</w:t>
            </w:r>
            <w:r w:rsidRPr="004A206C">
              <w:rPr>
                <w:b/>
                <w:bCs/>
                <w:sz w:val="18"/>
                <w:szCs w:val="18"/>
                <w:lang w:val="el-GR" w:eastAsia="el-GR"/>
              </w:rPr>
              <w:t>61</w:t>
            </w:r>
            <w:r>
              <w:rPr>
                <w:b/>
                <w:bCs/>
                <w:sz w:val="18"/>
                <w:szCs w:val="18"/>
                <w:lang w:eastAsia="el-GR"/>
              </w:rPr>
              <w:t>.</w:t>
            </w:r>
            <w:r>
              <w:rPr>
                <w:b/>
                <w:bCs/>
                <w:sz w:val="18"/>
                <w:szCs w:val="18"/>
                <w:lang w:val="el-GR" w:eastAsia="el-GR"/>
              </w:rPr>
              <w:t>365</w:t>
            </w:r>
            <w:r w:rsidRPr="004A206C">
              <w:rPr>
                <w:b/>
                <w:bCs/>
                <w:sz w:val="18"/>
                <w:szCs w:val="18"/>
                <w:lang w:eastAsia="el-GR"/>
              </w:rPr>
              <w:t>)</w:t>
            </w:r>
          </w:p>
        </w:tc>
      </w:tr>
      <w:tr w:rsidR="004B417C" w:rsidRPr="00860F4B">
        <w:trPr>
          <w:trHeight w:val="255"/>
        </w:trPr>
        <w:tc>
          <w:tcPr>
            <w:tcW w:w="3400" w:type="dxa"/>
            <w:tcBorders>
              <w:top w:val="single" w:sz="12" w:space="0" w:color="auto"/>
              <w:left w:val="nil"/>
              <w:bottom w:val="dotted" w:sz="4" w:space="0" w:color="auto"/>
              <w:right w:val="nil"/>
            </w:tcBorders>
            <w:vAlign w:val="bottom"/>
          </w:tcPr>
          <w:p w:rsidR="004B417C" w:rsidRPr="004A206C" w:rsidRDefault="004B417C"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b/>
                <w:sz w:val="18"/>
                <w:szCs w:val="18"/>
                <w:lang w:val="el-GR" w:eastAsia="el-GR"/>
              </w:rPr>
            </w:pPr>
          </w:p>
        </w:tc>
        <w:tc>
          <w:tcPr>
            <w:tcW w:w="1676" w:type="dxa"/>
            <w:tcBorders>
              <w:top w:val="single" w:sz="12" w:space="0" w:color="auto"/>
              <w:left w:val="nil"/>
              <w:bottom w:val="dotted" w:sz="4" w:space="0" w:color="auto"/>
              <w:right w:val="nil"/>
            </w:tcBorders>
            <w:vAlign w:val="bottom"/>
          </w:tcPr>
          <w:p w:rsidR="004B417C" w:rsidRPr="004A206C" w:rsidRDefault="004B417C"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 w:val="18"/>
                <w:szCs w:val="18"/>
                <w:lang w:val="el-GR" w:eastAsia="el-GR"/>
              </w:rPr>
            </w:pPr>
          </w:p>
        </w:tc>
        <w:tc>
          <w:tcPr>
            <w:tcW w:w="1300" w:type="dxa"/>
            <w:tcBorders>
              <w:top w:val="single" w:sz="12" w:space="0" w:color="auto"/>
              <w:left w:val="nil"/>
              <w:bottom w:val="dotted" w:sz="4" w:space="0" w:color="auto"/>
              <w:right w:val="nil"/>
            </w:tcBorders>
            <w:vAlign w:val="bottom"/>
          </w:tcPr>
          <w:p w:rsidR="004B417C" w:rsidRPr="004A206C" w:rsidRDefault="004B417C"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 w:val="18"/>
                <w:szCs w:val="18"/>
                <w:lang w:val="el-GR" w:eastAsia="el-GR"/>
              </w:rPr>
            </w:pPr>
          </w:p>
        </w:tc>
        <w:tc>
          <w:tcPr>
            <w:tcW w:w="1218" w:type="dxa"/>
            <w:tcBorders>
              <w:top w:val="single" w:sz="12" w:space="0" w:color="auto"/>
              <w:left w:val="nil"/>
              <w:bottom w:val="dotted" w:sz="4" w:space="0" w:color="auto"/>
              <w:right w:val="nil"/>
            </w:tcBorders>
            <w:vAlign w:val="bottom"/>
          </w:tcPr>
          <w:p w:rsidR="004B417C" w:rsidRPr="004A206C" w:rsidRDefault="004B417C"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 w:val="18"/>
                <w:szCs w:val="18"/>
                <w:lang w:val="el-GR" w:eastAsia="el-GR"/>
              </w:rPr>
            </w:pPr>
          </w:p>
        </w:tc>
        <w:tc>
          <w:tcPr>
            <w:tcW w:w="1420" w:type="dxa"/>
            <w:tcBorders>
              <w:top w:val="single" w:sz="12" w:space="0" w:color="auto"/>
              <w:left w:val="nil"/>
              <w:bottom w:val="dotted" w:sz="4" w:space="0" w:color="auto"/>
              <w:right w:val="nil"/>
            </w:tcBorders>
            <w:vAlign w:val="bottom"/>
          </w:tcPr>
          <w:p w:rsidR="004B417C" w:rsidRPr="004A206C" w:rsidRDefault="004B417C"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 w:val="18"/>
                <w:szCs w:val="18"/>
                <w:lang w:val="el-GR" w:eastAsia="el-GR"/>
              </w:rPr>
            </w:pPr>
          </w:p>
        </w:tc>
        <w:tc>
          <w:tcPr>
            <w:tcW w:w="1340" w:type="dxa"/>
            <w:tcBorders>
              <w:top w:val="single" w:sz="12" w:space="0" w:color="auto"/>
              <w:left w:val="nil"/>
              <w:bottom w:val="dotted" w:sz="4" w:space="0" w:color="auto"/>
              <w:right w:val="nil"/>
            </w:tcBorders>
            <w:vAlign w:val="bottom"/>
          </w:tcPr>
          <w:p w:rsidR="004B417C" w:rsidRPr="004A206C" w:rsidRDefault="004B417C"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 w:val="18"/>
                <w:szCs w:val="18"/>
                <w:lang w:val="el-GR" w:eastAsia="el-GR"/>
              </w:rPr>
            </w:pPr>
          </w:p>
        </w:tc>
      </w:tr>
      <w:tr w:rsidR="004B417C" w:rsidRPr="00860F4B">
        <w:trPr>
          <w:trHeight w:val="255"/>
        </w:trPr>
        <w:tc>
          <w:tcPr>
            <w:tcW w:w="3400" w:type="dxa"/>
            <w:tcBorders>
              <w:top w:val="dotted" w:sz="4" w:space="0" w:color="auto"/>
              <w:left w:val="nil"/>
              <w:bottom w:val="dotted" w:sz="4" w:space="0" w:color="auto"/>
              <w:right w:val="nil"/>
            </w:tcBorders>
            <w:vAlign w:val="bottom"/>
          </w:tcPr>
          <w:p w:rsidR="004B417C" w:rsidRPr="004A206C" w:rsidRDefault="004B417C"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sz w:val="18"/>
                <w:szCs w:val="18"/>
                <w:lang w:eastAsia="el-GR"/>
              </w:rPr>
            </w:pPr>
            <w:r w:rsidRPr="004A206C">
              <w:rPr>
                <w:sz w:val="18"/>
                <w:szCs w:val="18"/>
                <w:lang w:val="el-GR" w:eastAsia="el-GR"/>
              </w:rPr>
              <w:t>Ζημίες περιόδου 1/1 - 31/12/20</w:t>
            </w:r>
            <w:r w:rsidRPr="004A206C">
              <w:rPr>
                <w:sz w:val="18"/>
                <w:szCs w:val="18"/>
                <w:lang w:eastAsia="el-GR"/>
              </w:rPr>
              <w:t>12</w:t>
            </w:r>
          </w:p>
        </w:tc>
        <w:tc>
          <w:tcPr>
            <w:tcW w:w="1676" w:type="dxa"/>
            <w:tcBorders>
              <w:top w:val="dotted" w:sz="4" w:space="0" w:color="auto"/>
              <w:left w:val="nil"/>
              <w:bottom w:val="dotted" w:sz="4" w:space="0" w:color="auto"/>
              <w:right w:val="nil"/>
            </w:tcBorders>
            <w:vAlign w:val="bottom"/>
          </w:tcPr>
          <w:p w:rsidR="004B417C" w:rsidRPr="004A206C" w:rsidRDefault="004B417C"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 w:val="18"/>
                <w:szCs w:val="18"/>
                <w:lang w:val="el-GR" w:eastAsia="el-GR"/>
              </w:rPr>
            </w:pPr>
            <w:r w:rsidRPr="004A206C">
              <w:rPr>
                <w:sz w:val="18"/>
                <w:szCs w:val="18"/>
                <w:lang w:val="el-GR" w:eastAsia="el-GR"/>
              </w:rPr>
              <w:t>-</w:t>
            </w:r>
          </w:p>
        </w:tc>
        <w:tc>
          <w:tcPr>
            <w:tcW w:w="1300" w:type="dxa"/>
            <w:tcBorders>
              <w:top w:val="dotted" w:sz="4" w:space="0" w:color="auto"/>
              <w:left w:val="nil"/>
              <w:bottom w:val="dotted" w:sz="4" w:space="0" w:color="auto"/>
              <w:right w:val="nil"/>
            </w:tcBorders>
            <w:vAlign w:val="bottom"/>
          </w:tcPr>
          <w:p w:rsidR="004B417C" w:rsidRPr="004A206C" w:rsidRDefault="004B417C"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 w:val="18"/>
                <w:szCs w:val="18"/>
                <w:lang w:val="el-GR" w:eastAsia="el-GR"/>
              </w:rPr>
            </w:pPr>
            <w:r w:rsidRPr="004A206C">
              <w:rPr>
                <w:sz w:val="18"/>
                <w:szCs w:val="18"/>
                <w:lang w:val="el-GR" w:eastAsia="el-GR"/>
              </w:rPr>
              <w:t>-</w:t>
            </w:r>
          </w:p>
        </w:tc>
        <w:tc>
          <w:tcPr>
            <w:tcW w:w="1218" w:type="dxa"/>
            <w:tcBorders>
              <w:top w:val="dotted" w:sz="4" w:space="0" w:color="auto"/>
              <w:left w:val="nil"/>
              <w:bottom w:val="dotted" w:sz="4" w:space="0" w:color="auto"/>
              <w:right w:val="nil"/>
            </w:tcBorders>
            <w:vAlign w:val="bottom"/>
          </w:tcPr>
          <w:p w:rsidR="004B417C" w:rsidRPr="004A206C" w:rsidRDefault="004B417C"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 w:val="18"/>
                <w:szCs w:val="18"/>
                <w:lang w:val="el-GR" w:eastAsia="el-GR"/>
              </w:rPr>
            </w:pPr>
            <w:r w:rsidRPr="004A206C">
              <w:rPr>
                <w:sz w:val="18"/>
                <w:szCs w:val="18"/>
                <w:lang w:val="el-GR" w:eastAsia="el-GR"/>
              </w:rPr>
              <w:t>-</w:t>
            </w:r>
          </w:p>
        </w:tc>
        <w:tc>
          <w:tcPr>
            <w:tcW w:w="1420" w:type="dxa"/>
            <w:tcBorders>
              <w:top w:val="dotted" w:sz="4" w:space="0" w:color="auto"/>
              <w:left w:val="nil"/>
              <w:bottom w:val="dotted" w:sz="4" w:space="0" w:color="auto"/>
              <w:right w:val="nil"/>
            </w:tcBorders>
            <w:vAlign w:val="bottom"/>
          </w:tcPr>
          <w:p w:rsidR="004B417C" w:rsidRPr="004A206C" w:rsidRDefault="004B417C"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 w:val="18"/>
                <w:szCs w:val="18"/>
                <w:lang w:val="el-GR" w:eastAsia="el-GR"/>
              </w:rPr>
            </w:pPr>
            <w:r w:rsidRPr="004A206C">
              <w:rPr>
                <w:sz w:val="18"/>
                <w:szCs w:val="18"/>
                <w:lang w:val="el-GR" w:eastAsia="el-GR"/>
              </w:rPr>
              <w:t>(65</w:t>
            </w:r>
            <w:r w:rsidRPr="004A206C">
              <w:rPr>
                <w:sz w:val="18"/>
                <w:szCs w:val="18"/>
                <w:lang w:eastAsia="el-GR"/>
              </w:rPr>
              <w:t>.</w:t>
            </w:r>
            <w:r>
              <w:rPr>
                <w:sz w:val="18"/>
                <w:szCs w:val="18"/>
                <w:lang w:val="el-GR" w:eastAsia="el-GR"/>
              </w:rPr>
              <w:t>450</w:t>
            </w:r>
            <w:r w:rsidRPr="004A206C">
              <w:rPr>
                <w:sz w:val="18"/>
                <w:szCs w:val="18"/>
                <w:lang w:val="el-GR" w:eastAsia="el-GR"/>
              </w:rPr>
              <w:t>)</w:t>
            </w:r>
          </w:p>
        </w:tc>
        <w:tc>
          <w:tcPr>
            <w:tcW w:w="1340" w:type="dxa"/>
            <w:tcBorders>
              <w:top w:val="dotted" w:sz="4" w:space="0" w:color="auto"/>
              <w:left w:val="nil"/>
              <w:bottom w:val="dotted" w:sz="4" w:space="0" w:color="auto"/>
              <w:right w:val="nil"/>
            </w:tcBorders>
            <w:vAlign w:val="bottom"/>
          </w:tcPr>
          <w:p w:rsidR="004B417C" w:rsidRPr="004A206C" w:rsidRDefault="004B417C"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 w:val="18"/>
                <w:szCs w:val="18"/>
                <w:lang w:val="el-GR" w:eastAsia="el-GR"/>
              </w:rPr>
            </w:pPr>
            <w:r w:rsidRPr="004A206C">
              <w:rPr>
                <w:sz w:val="18"/>
                <w:szCs w:val="18"/>
                <w:lang w:val="el-GR" w:eastAsia="el-GR"/>
              </w:rPr>
              <w:t>(65.</w:t>
            </w:r>
            <w:r>
              <w:rPr>
                <w:sz w:val="18"/>
                <w:szCs w:val="18"/>
                <w:lang w:val="el-GR" w:eastAsia="el-GR"/>
              </w:rPr>
              <w:t>450</w:t>
            </w:r>
            <w:r w:rsidRPr="004A206C">
              <w:rPr>
                <w:sz w:val="18"/>
                <w:szCs w:val="18"/>
                <w:lang w:val="el-GR" w:eastAsia="el-GR"/>
              </w:rPr>
              <w:t xml:space="preserve">)   </w:t>
            </w:r>
          </w:p>
        </w:tc>
      </w:tr>
      <w:tr w:rsidR="004B417C" w:rsidRPr="00860F4B">
        <w:trPr>
          <w:trHeight w:val="480"/>
        </w:trPr>
        <w:tc>
          <w:tcPr>
            <w:tcW w:w="3400" w:type="dxa"/>
            <w:tcBorders>
              <w:top w:val="dotted" w:sz="4" w:space="0" w:color="auto"/>
              <w:left w:val="nil"/>
              <w:bottom w:val="nil"/>
              <w:right w:val="nil"/>
            </w:tcBorders>
            <w:vAlign w:val="bottom"/>
          </w:tcPr>
          <w:p w:rsidR="004B417C" w:rsidRPr="004A206C" w:rsidRDefault="004B417C"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sz w:val="18"/>
                <w:szCs w:val="18"/>
                <w:lang w:val="el-GR" w:eastAsia="el-GR"/>
              </w:rPr>
            </w:pPr>
            <w:r w:rsidRPr="004A206C">
              <w:rPr>
                <w:sz w:val="18"/>
                <w:szCs w:val="18"/>
                <w:lang w:val="el-GR" w:eastAsia="el-GR"/>
              </w:rPr>
              <w:t>Μεταβολή περιόδου χρεογράφων διαθεσίμων προς πώληση</w:t>
            </w:r>
          </w:p>
        </w:tc>
        <w:tc>
          <w:tcPr>
            <w:tcW w:w="1676" w:type="dxa"/>
            <w:tcBorders>
              <w:top w:val="dotted" w:sz="4" w:space="0" w:color="auto"/>
              <w:left w:val="nil"/>
              <w:bottom w:val="nil"/>
              <w:right w:val="nil"/>
            </w:tcBorders>
            <w:vAlign w:val="bottom"/>
          </w:tcPr>
          <w:p w:rsidR="004B417C" w:rsidRPr="004A206C" w:rsidRDefault="004B417C"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 w:val="18"/>
                <w:szCs w:val="18"/>
                <w:lang w:val="el-GR" w:eastAsia="el-GR"/>
              </w:rPr>
            </w:pPr>
            <w:r w:rsidRPr="004A206C">
              <w:rPr>
                <w:sz w:val="18"/>
                <w:szCs w:val="18"/>
                <w:lang w:val="el-GR" w:eastAsia="el-GR"/>
              </w:rPr>
              <w:t>-</w:t>
            </w:r>
          </w:p>
        </w:tc>
        <w:tc>
          <w:tcPr>
            <w:tcW w:w="1300" w:type="dxa"/>
            <w:tcBorders>
              <w:top w:val="dotted" w:sz="4" w:space="0" w:color="auto"/>
              <w:left w:val="nil"/>
              <w:bottom w:val="nil"/>
              <w:right w:val="nil"/>
            </w:tcBorders>
            <w:vAlign w:val="bottom"/>
          </w:tcPr>
          <w:p w:rsidR="004B417C" w:rsidRPr="004A206C" w:rsidRDefault="004B417C" w:rsidP="008D629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 w:val="18"/>
                <w:szCs w:val="18"/>
                <w:lang w:val="el-GR" w:eastAsia="el-GR"/>
              </w:rPr>
            </w:pPr>
            <w:r w:rsidRPr="004A206C">
              <w:rPr>
                <w:sz w:val="18"/>
                <w:szCs w:val="18"/>
                <w:lang w:val="el-GR" w:eastAsia="el-GR"/>
              </w:rPr>
              <w:t>380</w:t>
            </w:r>
          </w:p>
        </w:tc>
        <w:tc>
          <w:tcPr>
            <w:tcW w:w="1218" w:type="dxa"/>
            <w:tcBorders>
              <w:top w:val="dotted" w:sz="4" w:space="0" w:color="auto"/>
              <w:left w:val="nil"/>
              <w:bottom w:val="nil"/>
              <w:right w:val="nil"/>
            </w:tcBorders>
            <w:vAlign w:val="bottom"/>
          </w:tcPr>
          <w:p w:rsidR="004B417C" w:rsidRPr="004A206C" w:rsidRDefault="004B417C"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 w:val="18"/>
                <w:szCs w:val="18"/>
                <w:lang w:val="el-GR" w:eastAsia="el-GR"/>
              </w:rPr>
            </w:pPr>
            <w:r w:rsidRPr="004A206C">
              <w:rPr>
                <w:sz w:val="18"/>
                <w:szCs w:val="18"/>
                <w:lang w:val="el-GR" w:eastAsia="el-GR"/>
              </w:rPr>
              <w:t>-</w:t>
            </w:r>
          </w:p>
        </w:tc>
        <w:tc>
          <w:tcPr>
            <w:tcW w:w="1420" w:type="dxa"/>
            <w:tcBorders>
              <w:top w:val="dotted" w:sz="4" w:space="0" w:color="auto"/>
              <w:left w:val="nil"/>
              <w:bottom w:val="nil"/>
              <w:right w:val="nil"/>
            </w:tcBorders>
            <w:vAlign w:val="bottom"/>
          </w:tcPr>
          <w:p w:rsidR="004B417C" w:rsidRPr="004A206C" w:rsidRDefault="004B417C"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 w:val="18"/>
                <w:szCs w:val="18"/>
                <w:lang w:val="el-GR" w:eastAsia="el-GR"/>
              </w:rPr>
            </w:pPr>
            <w:r w:rsidRPr="004A206C">
              <w:rPr>
                <w:sz w:val="18"/>
                <w:szCs w:val="18"/>
                <w:lang w:val="el-GR" w:eastAsia="el-GR"/>
              </w:rPr>
              <w:t>-</w:t>
            </w:r>
          </w:p>
        </w:tc>
        <w:tc>
          <w:tcPr>
            <w:tcW w:w="1340" w:type="dxa"/>
            <w:tcBorders>
              <w:top w:val="dotted" w:sz="4" w:space="0" w:color="auto"/>
              <w:left w:val="nil"/>
              <w:bottom w:val="nil"/>
              <w:right w:val="nil"/>
            </w:tcBorders>
            <w:vAlign w:val="bottom"/>
          </w:tcPr>
          <w:p w:rsidR="004B417C" w:rsidRPr="004A206C" w:rsidRDefault="004B417C" w:rsidP="008D629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 w:val="18"/>
                <w:szCs w:val="18"/>
                <w:lang w:val="el-GR" w:eastAsia="el-GR"/>
              </w:rPr>
            </w:pPr>
            <w:r w:rsidRPr="004A206C">
              <w:rPr>
                <w:sz w:val="18"/>
                <w:szCs w:val="18"/>
                <w:lang w:val="el-GR" w:eastAsia="el-GR"/>
              </w:rPr>
              <w:t>380</w:t>
            </w:r>
          </w:p>
        </w:tc>
      </w:tr>
      <w:tr w:rsidR="004B417C" w:rsidRPr="00860F4B">
        <w:trPr>
          <w:trHeight w:val="495"/>
        </w:trPr>
        <w:tc>
          <w:tcPr>
            <w:tcW w:w="3400" w:type="dxa"/>
            <w:tcBorders>
              <w:top w:val="single" w:sz="4" w:space="0" w:color="auto"/>
              <w:left w:val="nil"/>
              <w:bottom w:val="single" w:sz="2" w:space="0" w:color="auto"/>
              <w:right w:val="nil"/>
            </w:tcBorders>
            <w:vAlign w:val="bottom"/>
          </w:tcPr>
          <w:p w:rsidR="004B417C" w:rsidRPr="004A206C" w:rsidRDefault="004B417C"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b/>
                <w:sz w:val="18"/>
                <w:szCs w:val="18"/>
                <w:lang w:val="el-GR" w:eastAsia="el-GR"/>
              </w:rPr>
            </w:pPr>
            <w:r w:rsidRPr="004A206C">
              <w:rPr>
                <w:b/>
                <w:sz w:val="18"/>
                <w:szCs w:val="18"/>
                <w:lang w:val="el-GR" w:eastAsia="el-GR"/>
              </w:rPr>
              <w:t>Συγκεντρωτικά συνολικά έσοδα μετά από φόρους</w:t>
            </w:r>
          </w:p>
        </w:tc>
        <w:tc>
          <w:tcPr>
            <w:tcW w:w="1676" w:type="dxa"/>
            <w:tcBorders>
              <w:top w:val="single" w:sz="4" w:space="0" w:color="auto"/>
              <w:left w:val="nil"/>
              <w:bottom w:val="single" w:sz="2" w:space="0" w:color="auto"/>
              <w:right w:val="nil"/>
            </w:tcBorders>
            <w:vAlign w:val="bottom"/>
          </w:tcPr>
          <w:p w:rsidR="004B417C" w:rsidRPr="004A206C" w:rsidRDefault="004B417C"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b/>
                <w:sz w:val="18"/>
                <w:szCs w:val="18"/>
                <w:lang w:val="el-GR" w:eastAsia="el-GR"/>
              </w:rPr>
            </w:pPr>
            <w:r w:rsidRPr="004A206C">
              <w:rPr>
                <w:b/>
                <w:sz w:val="18"/>
                <w:szCs w:val="18"/>
                <w:lang w:val="el-GR" w:eastAsia="el-GR"/>
              </w:rPr>
              <w:t>-</w:t>
            </w:r>
          </w:p>
        </w:tc>
        <w:tc>
          <w:tcPr>
            <w:tcW w:w="1300" w:type="dxa"/>
            <w:tcBorders>
              <w:top w:val="single" w:sz="4" w:space="0" w:color="auto"/>
              <w:left w:val="nil"/>
              <w:bottom w:val="single" w:sz="2" w:space="0" w:color="auto"/>
              <w:right w:val="nil"/>
            </w:tcBorders>
            <w:vAlign w:val="bottom"/>
          </w:tcPr>
          <w:p w:rsidR="004B417C" w:rsidRPr="004A206C" w:rsidRDefault="004B417C"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b/>
                <w:sz w:val="18"/>
                <w:szCs w:val="18"/>
                <w:lang w:val="el-GR" w:eastAsia="el-GR"/>
              </w:rPr>
            </w:pPr>
            <w:r w:rsidRPr="004A206C">
              <w:rPr>
                <w:b/>
                <w:sz w:val="18"/>
                <w:szCs w:val="18"/>
                <w:lang w:val="el-GR" w:eastAsia="el-GR"/>
              </w:rPr>
              <w:t>380</w:t>
            </w:r>
          </w:p>
        </w:tc>
        <w:tc>
          <w:tcPr>
            <w:tcW w:w="1218" w:type="dxa"/>
            <w:tcBorders>
              <w:top w:val="single" w:sz="4" w:space="0" w:color="auto"/>
              <w:left w:val="nil"/>
              <w:bottom w:val="single" w:sz="2" w:space="0" w:color="auto"/>
              <w:right w:val="nil"/>
            </w:tcBorders>
            <w:vAlign w:val="bottom"/>
          </w:tcPr>
          <w:p w:rsidR="004B417C" w:rsidRPr="004A206C" w:rsidRDefault="004B417C"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b/>
                <w:sz w:val="18"/>
                <w:szCs w:val="18"/>
                <w:lang w:val="el-GR" w:eastAsia="el-GR"/>
              </w:rPr>
            </w:pPr>
            <w:r w:rsidRPr="004A206C">
              <w:rPr>
                <w:b/>
                <w:sz w:val="18"/>
                <w:szCs w:val="18"/>
                <w:lang w:val="el-GR" w:eastAsia="el-GR"/>
              </w:rPr>
              <w:t> </w:t>
            </w:r>
          </w:p>
        </w:tc>
        <w:tc>
          <w:tcPr>
            <w:tcW w:w="1420" w:type="dxa"/>
            <w:tcBorders>
              <w:top w:val="single" w:sz="4" w:space="0" w:color="auto"/>
              <w:left w:val="nil"/>
              <w:bottom w:val="single" w:sz="2" w:space="0" w:color="auto"/>
              <w:right w:val="nil"/>
            </w:tcBorders>
            <w:vAlign w:val="bottom"/>
          </w:tcPr>
          <w:p w:rsidR="004B417C" w:rsidRPr="004A206C" w:rsidRDefault="004B417C"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b/>
                <w:sz w:val="18"/>
                <w:szCs w:val="18"/>
                <w:lang w:val="el-GR" w:eastAsia="el-GR"/>
              </w:rPr>
            </w:pPr>
            <w:r w:rsidRPr="004A206C">
              <w:rPr>
                <w:b/>
                <w:sz w:val="18"/>
                <w:szCs w:val="18"/>
                <w:lang w:val="el-GR" w:eastAsia="el-GR"/>
              </w:rPr>
              <w:t>(</w:t>
            </w:r>
            <w:r>
              <w:rPr>
                <w:b/>
                <w:sz w:val="18"/>
                <w:szCs w:val="18"/>
                <w:lang w:val="el-GR" w:eastAsia="el-GR"/>
              </w:rPr>
              <w:t>65.450</w:t>
            </w:r>
            <w:r w:rsidRPr="004A206C">
              <w:rPr>
                <w:b/>
                <w:sz w:val="18"/>
                <w:szCs w:val="18"/>
                <w:lang w:val="el-GR" w:eastAsia="el-GR"/>
              </w:rPr>
              <w:t>)</w:t>
            </w:r>
          </w:p>
        </w:tc>
        <w:tc>
          <w:tcPr>
            <w:tcW w:w="1340" w:type="dxa"/>
            <w:tcBorders>
              <w:top w:val="single" w:sz="4" w:space="0" w:color="auto"/>
              <w:left w:val="nil"/>
              <w:bottom w:val="single" w:sz="2" w:space="0" w:color="auto"/>
              <w:right w:val="nil"/>
            </w:tcBorders>
            <w:vAlign w:val="bottom"/>
          </w:tcPr>
          <w:p w:rsidR="004B417C" w:rsidRPr="004A206C" w:rsidRDefault="004B417C"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b/>
                <w:sz w:val="18"/>
                <w:szCs w:val="18"/>
                <w:lang w:val="el-GR" w:eastAsia="el-GR"/>
              </w:rPr>
            </w:pPr>
            <w:r w:rsidRPr="004A206C">
              <w:rPr>
                <w:b/>
                <w:sz w:val="18"/>
                <w:szCs w:val="18"/>
                <w:lang w:val="el-GR" w:eastAsia="el-GR"/>
              </w:rPr>
              <w:t>(</w:t>
            </w:r>
            <w:r>
              <w:rPr>
                <w:b/>
                <w:sz w:val="18"/>
                <w:szCs w:val="18"/>
                <w:lang w:val="el-GR" w:eastAsia="el-GR"/>
              </w:rPr>
              <w:t>65</w:t>
            </w:r>
            <w:r w:rsidRPr="004A206C">
              <w:rPr>
                <w:b/>
                <w:sz w:val="18"/>
                <w:szCs w:val="18"/>
                <w:lang w:eastAsia="el-GR"/>
              </w:rPr>
              <w:t>.</w:t>
            </w:r>
            <w:r>
              <w:rPr>
                <w:b/>
                <w:sz w:val="18"/>
                <w:szCs w:val="18"/>
                <w:lang w:val="el-GR" w:eastAsia="el-GR"/>
              </w:rPr>
              <w:t>070</w:t>
            </w:r>
            <w:r w:rsidRPr="004A206C">
              <w:rPr>
                <w:b/>
                <w:sz w:val="18"/>
                <w:szCs w:val="18"/>
                <w:lang w:val="el-GR" w:eastAsia="el-GR"/>
              </w:rPr>
              <w:t>)</w:t>
            </w:r>
          </w:p>
        </w:tc>
      </w:tr>
      <w:tr w:rsidR="004B417C" w:rsidRPr="00860F4B">
        <w:trPr>
          <w:trHeight w:val="255"/>
        </w:trPr>
        <w:tc>
          <w:tcPr>
            <w:tcW w:w="3400" w:type="dxa"/>
            <w:tcBorders>
              <w:top w:val="single" w:sz="4" w:space="0" w:color="auto"/>
              <w:left w:val="nil"/>
              <w:bottom w:val="nil"/>
              <w:right w:val="nil"/>
            </w:tcBorders>
            <w:vAlign w:val="bottom"/>
          </w:tcPr>
          <w:p w:rsidR="004B417C" w:rsidRPr="004A206C" w:rsidRDefault="004B417C"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sz w:val="18"/>
                <w:szCs w:val="18"/>
                <w:lang w:val="el-GR" w:eastAsia="el-GR"/>
              </w:rPr>
            </w:pPr>
          </w:p>
        </w:tc>
        <w:tc>
          <w:tcPr>
            <w:tcW w:w="1676" w:type="dxa"/>
            <w:tcBorders>
              <w:top w:val="single" w:sz="4" w:space="0" w:color="auto"/>
              <w:left w:val="nil"/>
              <w:bottom w:val="nil"/>
              <w:right w:val="nil"/>
            </w:tcBorders>
            <w:vAlign w:val="bottom"/>
          </w:tcPr>
          <w:p w:rsidR="004B417C" w:rsidRPr="004A206C" w:rsidRDefault="004B417C"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 w:val="18"/>
                <w:szCs w:val="18"/>
                <w:lang w:val="el-GR" w:eastAsia="el-GR"/>
              </w:rPr>
            </w:pPr>
          </w:p>
        </w:tc>
        <w:tc>
          <w:tcPr>
            <w:tcW w:w="1300" w:type="dxa"/>
            <w:tcBorders>
              <w:top w:val="single" w:sz="4" w:space="0" w:color="auto"/>
              <w:left w:val="nil"/>
              <w:bottom w:val="nil"/>
              <w:right w:val="nil"/>
            </w:tcBorders>
            <w:vAlign w:val="bottom"/>
          </w:tcPr>
          <w:p w:rsidR="004B417C" w:rsidRPr="004A206C" w:rsidRDefault="004B417C"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 w:val="18"/>
                <w:szCs w:val="18"/>
                <w:lang w:val="el-GR" w:eastAsia="el-GR"/>
              </w:rPr>
            </w:pPr>
          </w:p>
        </w:tc>
        <w:tc>
          <w:tcPr>
            <w:tcW w:w="1218" w:type="dxa"/>
            <w:tcBorders>
              <w:top w:val="single" w:sz="4" w:space="0" w:color="auto"/>
              <w:left w:val="nil"/>
              <w:bottom w:val="nil"/>
              <w:right w:val="nil"/>
            </w:tcBorders>
            <w:vAlign w:val="bottom"/>
          </w:tcPr>
          <w:p w:rsidR="004B417C" w:rsidRPr="004A206C" w:rsidRDefault="004B417C"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 w:val="18"/>
                <w:szCs w:val="18"/>
                <w:lang w:val="el-GR" w:eastAsia="el-GR"/>
              </w:rPr>
            </w:pPr>
          </w:p>
        </w:tc>
        <w:tc>
          <w:tcPr>
            <w:tcW w:w="1420" w:type="dxa"/>
            <w:tcBorders>
              <w:top w:val="single" w:sz="4" w:space="0" w:color="auto"/>
              <w:left w:val="nil"/>
              <w:bottom w:val="nil"/>
              <w:right w:val="nil"/>
            </w:tcBorders>
            <w:vAlign w:val="bottom"/>
          </w:tcPr>
          <w:p w:rsidR="004B417C" w:rsidRPr="004A206C" w:rsidRDefault="004B417C"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 w:val="18"/>
                <w:szCs w:val="18"/>
                <w:lang w:val="el-GR" w:eastAsia="el-GR"/>
              </w:rPr>
            </w:pPr>
          </w:p>
        </w:tc>
        <w:tc>
          <w:tcPr>
            <w:tcW w:w="1340" w:type="dxa"/>
            <w:tcBorders>
              <w:top w:val="single" w:sz="4" w:space="0" w:color="auto"/>
              <w:left w:val="nil"/>
              <w:bottom w:val="nil"/>
              <w:right w:val="nil"/>
            </w:tcBorders>
            <w:vAlign w:val="bottom"/>
          </w:tcPr>
          <w:p w:rsidR="004B417C" w:rsidRPr="004A206C" w:rsidRDefault="004B417C"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 w:val="18"/>
                <w:szCs w:val="18"/>
                <w:lang w:val="el-GR" w:eastAsia="el-GR"/>
              </w:rPr>
            </w:pPr>
          </w:p>
        </w:tc>
      </w:tr>
      <w:tr w:rsidR="004B417C" w:rsidRPr="00860F4B">
        <w:trPr>
          <w:trHeight w:val="255"/>
        </w:trPr>
        <w:tc>
          <w:tcPr>
            <w:tcW w:w="3400" w:type="dxa"/>
            <w:tcBorders>
              <w:top w:val="single" w:sz="8" w:space="0" w:color="auto"/>
              <w:left w:val="nil"/>
              <w:bottom w:val="single" w:sz="12" w:space="0" w:color="auto"/>
              <w:right w:val="nil"/>
            </w:tcBorders>
            <w:vAlign w:val="bottom"/>
          </w:tcPr>
          <w:p w:rsidR="004B417C" w:rsidRPr="004A206C" w:rsidRDefault="004B417C"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b/>
                <w:bCs/>
                <w:sz w:val="18"/>
                <w:szCs w:val="18"/>
                <w:lang w:eastAsia="el-GR"/>
              </w:rPr>
            </w:pPr>
            <w:r w:rsidRPr="004A206C">
              <w:rPr>
                <w:b/>
                <w:bCs/>
                <w:sz w:val="18"/>
                <w:szCs w:val="18"/>
                <w:lang w:val="el-GR" w:eastAsia="el-GR"/>
              </w:rPr>
              <w:t>Υπόλοιπα 31 Δεκεμβρίου 201</w:t>
            </w:r>
            <w:r w:rsidRPr="004A206C">
              <w:rPr>
                <w:b/>
                <w:bCs/>
                <w:sz w:val="18"/>
                <w:szCs w:val="18"/>
                <w:lang w:eastAsia="el-GR"/>
              </w:rPr>
              <w:t>2</w:t>
            </w:r>
          </w:p>
        </w:tc>
        <w:tc>
          <w:tcPr>
            <w:tcW w:w="1676" w:type="dxa"/>
            <w:tcBorders>
              <w:top w:val="single" w:sz="8" w:space="0" w:color="auto"/>
              <w:left w:val="nil"/>
              <w:bottom w:val="single" w:sz="12" w:space="0" w:color="auto"/>
              <w:right w:val="nil"/>
            </w:tcBorders>
            <w:noWrap/>
            <w:vAlign w:val="bottom"/>
          </w:tcPr>
          <w:p w:rsidR="004B417C" w:rsidRPr="004A206C" w:rsidRDefault="004B417C"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b/>
                <w:bCs/>
                <w:sz w:val="18"/>
                <w:szCs w:val="18"/>
                <w:lang w:val="el-GR" w:eastAsia="el-GR"/>
              </w:rPr>
            </w:pPr>
            <w:r w:rsidRPr="004A206C">
              <w:rPr>
                <w:b/>
                <w:bCs/>
                <w:sz w:val="18"/>
                <w:szCs w:val="18"/>
                <w:lang w:val="el-GR" w:eastAsia="el-GR"/>
              </w:rPr>
              <w:t>30.705</w:t>
            </w:r>
          </w:p>
        </w:tc>
        <w:tc>
          <w:tcPr>
            <w:tcW w:w="1300" w:type="dxa"/>
            <w:tcBorders>
              <w:top w:val="single" w:sz="8" w:space="0" w:color="auto"/>
              <w:left w:val="nil"/>
              <w:bottom w:val="single" w:sz="12" w:space="0" w:color="auto"/>
              <w:right w:val="nil"/>
            </w:tcBorders>
            <w:noWrap/>
            <w:vAlign w:val="bottom"/>
          </w:tcPr>
          <w:p w:rsidR="004B417C" w:rsidRPr="004A206C" w:rsidRDefault="004B417C"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b/>
                <w:bCs/>
                <w:sz w:val="18"/>
                <w:szCs w:val="18"/>
                <w:lang w:val="el-GR" w:eastAsia="el-GR"/>
              </w:rPr>
            </w:pPr>
            <w:r w:rsidRPr="004A206C">
              <w:rPr>
                <w:b/>
                <w:bCs/>
                <w:sz w:val="18"/>
                <w:szCs w:val="18"/>
                <w:lang w:val="el-GR" w:eastAsia="el-GR"/>
              </w:rPr>
              <w:t>(</w:t>
            </w:r>
            <w:r w:rsidRPr="004A206C">
              <w:rPr>
                <w:b/>
                <w:bCs/>
                <w:sz w:val="18"/>
                <w:szCs w:val="18"/>
                <w:lang w:eastAsia="el-GR"/>
              </w:rPr>
              <w:t>1.122</w:t>
            </w:r>
            <w:r w:rsidRPr="004A206C">
              <w:rPr>
                <w:b/>
                <w:bCs/>
                <w:sz w:val="18"/>
                <w:szCs w:val="18"/>
                <w:lang w:val="el-GR" w:eastAsia="el-GR"/>
              </w:rPr>
              <w:t>)</w:t>
            </w:r>
          </w:p>
        </w:tc>
        <w:tc>
          <w:tcPr>
            <w:tcW w:w="1218" w:type="dxa"/>
            <w:tcBorders>
              <w:top w:val="single" w:sz="8" w:space="0" w:color="auto"/>
              <w:left w:val="nil"/>
              <w:bottom w:val="single" w:sz="12" w:space="0" w:color="auto"/>
              <w:right w:val="nil"/>
            </w:tcBorders>
            <w:noWrap/>
            <w:vAlign w:val="bottom"/>
          </w:tcPr>
          <w:p w:rsidR="004B417C" w:rsidRPr="004A206C" w:rsidRDefault="004B417C"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b/>
                <w:bCs/>
                <w:sz w:val="18"/>
                <w:szCs w:val="18"/>
                <w:lang w:val="el-GR" w:eastAsia="el-GR"/>
              </w:rPr>
            </w:pPr>
            <w:r w:rsidRPr="004A206C">
              <w:rPr>
                <w:b/>
                <w:bCs/>
                <w:sz w:val="18"/>
                <w:szCs w:val="18"/>
                <w:lang w:val="el-GR" w:eastAsia="el-GR"/>
              </w:rPr>
              <w:t>5.492</w:t>
            </w:r>
          </w:p>
        </w:tc>
        <w:tc>
          <w:tcPr>
            <w:tcW w:w="1420" w:type="dxa"/>
            <w:tcBorders>
              <w:top w:val="single" w:sz="8" w:space="0" w:color="auto"/>
              <w:left w:val="nil"/>
              <w:bottom w:val="single" w:sz="12" w:space="0" w:color="auto"/>
              <w:right w:val="nil"/>
            </w:tcBorders>
            <w:noWrap/>
            <w:vAlign w:val="bottom"/>
          </w:tcPr>
          <w:p w:rsidR="004B417C" w:rsidRPr="004A206C" w:rsidRDefault="004B417C" w:rsidP="00075FE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b/>
                <w:bCs/>
                <w:sz w:val="18"/>
                <w:szCs w:val="18"/>
                <w:lang w:eastAsia="el-GR"/>
              </w:rPr>
            </w:pPr>
            <w:r w:rsidRPr="004A206C">
              <w:rPr>
                <w:b/>
                <w:bCs/>
                <w:sz w:val="18"/>
                <w:szCs w:val="18"/>
                <w:lang w:eastAsia="el-GR"/>
              </w:rPr>
              <w:t>(1</w:t>
            </w:r>
            <w:r w:rsidRPr="004A206C">
              <w:rPr>
                <w:b/>
                <w:bCs/>
                <w:sz w:val="18"/>
                <w:szCs w:val="18"/>
                <w:lang w:val="el-GR" w:eastAsia="el-GR"/>
              </w:rPr>
              <w:t>61</w:t>
            </w:r>
            <w:r w:rsidRPr="004A206C">
              <w:rPr>
                <w:b/>
                <w:bCs/>
                <w:sz w:val="18"/>
                <w:szCs w:val="18"/>
                <w:lang w:eastAsia="el-GR"/>
              </w:rPr>
              <w:t>.</w:t>
            </w:r>
            <w:r>
              <w:rPr>
                <w:b/>
                <w:bCs/>
                <w:sz w:val="18"/>
                <w:szCs w:val="18"/>
                <w:lang w:val="el-GR" w:eastAsia="el-GR"/>
              </w:rPr>
              <w:t>510</w:t>
            </w:r>
            <w:r w:rsidRPr="004A206C">
              <w:rPr>
                <w:b/>
                <w:bCs/>
                <w:sz w:val="18"/>
                <w:szCs w:val="18"/>
                <w:lang w:eastAsia="el-GR"/>
              </w:rPr>
              <w:t>)</w:t>
            </w:r>
          </w:p>
        </w:tc>
        <w:tc>
          <w:tcPr>
            <w:tcW w:w="1340" w:type="dxa"/>
            <w:tcBorders>
              <w:top w:val="single" w:sz="8" w:space="0" w:color="auto"/>
              <w:left w:val="nil"/>
              <w:bottom w:val="single" w:sz="12" w:space="0" w:color="auto"/>
              <w:right w:val="nil"/>
            </w:tcBorders>
            <w:noWrap/>
            <w:vAlign w:val="bottom"/>
          </w:tcPr>
          <w:p w:rsidR="004B417C" w:rsidRPr="004A206C" w:rsidRDefault="004B417C"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b/>
                <w:bCs/>
                <w:sz w:val="18"/>
                <w:szCs w:val="18"/>
                <w:lang w:val="el-GR" w:eastAsia="el-GR"/>
              </w:rPr>
            </w:pPr>
            <w:r w:rsidRPr="004A206C">
              <w:rPr>
                <w:b/>
                <w:bCs/>
                <w:sz w:val="18"/>
                <w:szCs w:val="18"/>
                <w:lang w:val="el-GR" w:eastAsia="el-GR"/>
              </w:rPr>
              <w:t>(</w:t>
            </w:r>
            <w:r w:rsidRPr="004A206C">
              <w:rPr>
                <w:b/>
                <w:bCs/>
                <w:sz w:val="18"/>
                <w:szCs w:val="18"/>
                <w:lang w:eastAsia="el-GR"/>
              </w:rPr>
              <w:t>1</w:t>
            </w:r>
            <w:r w:rsidRPr="004A206C">
              <w:rPr>
                <w:b/>
                <w:bCs/>
                <w:sz w:val="18"/>
                <w:szCs w:val="18"/>
                <w:lang w:val="el-GR" w:eastAsia="el-GR"/>
              </w:rPr>
              <w:t>26</w:t>
            </w:r>
            <w:r w:rsidRPr="004A206C">
              <w:rPr>
                <w:b/>
                <w:bCs/>
                <w:sz w:val="18"/>
                <w:szCs w:val="18"/>
                <w:lang w:eastAsia="el-GR"/>
              </w:rPr>
              <w:t>.</w:t>
            </w:r>
            <w:r>
              <w:rPr>
                <w:b/>
                <w:bCs/>
                <w:sz w:val="18"/>
                <w:szCs w:val="18"/>
                <w:lang w:val="el-GR" w:eastAsia="el-GR"/>
              </w:rPr>
              <w:t>435</w:t>
            </w:r>
            <w:r w:rsidRPr="004A206C">
              <w:rPr>
                <w:b/>
                <w:bCs/>
                <w:sz w:val="18"/>
                <w:szCs w:val="18"/>
                <w:lang w:eastAsia="el-GR"/>
              </w:rPr>
              <w:t>)</w:t>
            </w:r>
          </w:p>
        </w:tc>
      </w:tr>
    </w:tbl>
    <w:p w:rsidR="004B417C" w:rsidRPr="00643128" w:rsidRDefault="004B417C">
      <w:pPr>
        <w:autoSpaceDE w:val="0"/>
        <w:autoSpaceDN w:val="0"/>
        <w:adjustRightInd w:val="0"/>
        <w:rPr>
          <w:sz w:val="19"/>
          <w:szCs w:val="19"/>
          <w:lang w:val="el-GR"/>
        </w:rPr>
      </w:pPr>
    </w:p>
    <w:p w:rsidR="004B417C" w:rsidRPr="00643128" w:rsidRDefault="004B417C">
      <w:pPr>
        <w:autoSpaceDE w:val="0"/>
        <w:autoSpaceDN w:val="0"/>
        <w:adjustRightInd w:val="0"/>
        <w:rPr>
          <w:sz w:val="19"/>
          <w:szCs w:val="19"/>
          <w:lang w:val="el-GR"/>
        </w:rPr>
      </w:pPr>
    </w:p>
    <w:p w:rsidR="004B417C" w:rsidRPr="008948C1" w:rsidRDefault="004B417C">
      <w:pPr>
        <w:autoSpaceDE w:val="0"/>
        <w:autoSpaceDN w:val="0"/>
        <w:adjustRightInd w:val="0"/>
        <w:rPr>
          <w:color w:val="FFFF00"/>
          <w:sz w:val="19"/>
          <w:szCs w:val="19"/>
          <w:lang w:val="el-GR"/>
        </w:rPr>
      </w:pPr>
    </w:p>
    <w:p w:rsidR="004B417C" w:rsidRDefault="004B417C">
      <w:pPr>
        <w:autoSpaceDE w:val="0"/>
        <w:autoSpaceDN w:val="0"/>
        <w:adjustRightInd w:val="0"/>
        <w:rPr>
          <w:sz w:val="19"/>
          <w:szCs w:val="19"/>
          <w:lang w:val="el-GR"/>
        </w:rPr>
      </w:pPr>
    </w:p>
    <w:p w:rsidR="004B417C" w:rsidRDefault="004B417C">
      <w:pPr>
        <w:autoSpaceDE w:val="0"/>
        <w:autoSpaceDN w:val="0"/>
        <w:adjustRightInd w:val="0"/>
        <w:rPr>
          <w:sz w:val="19"/>
          <w:szCs w:val="19"/>
          <w:lang w:val="el-GR"/>
        </w:rPr>
      </w:pPr>
    </w:p>
    <w:p w:rsidR="004B417C" w:rsidRDefault="004B417C">
      <w:pPr>
        <w:pStyle w:val="xl38"/>
        <w:pBdr>
          <w:bottom w:val="none" w:sz="0" w:space="0" w:color="auto"/>
        </w:pBdr>
        <w:spacing w:before="0" w:beforeAutospacing="0" w:after="0" w:afterAutospacing="0" w:line="360" w:lineRule="auto"/>
        <w:ind w:right="282"/>
        <w:jc w:val="both"/>
        <w:rPr>
          <w:rFonts w:eastAsia="Times New Roman" w:cs="Times New Roman"/>
          <w:b w:val="0"/>
          <w:sz w:val="20"/>
          <w:szCs w:val="18"/>
          <w:lang w:eastAsia="en-US"/>
        </w:rPr>
      </w:pPr>
    </w:p>
    <w:p w:rsidR="004B417C" w:rsidRDefault="004B417C">
      <w:pPr>
        <w:pStyle w:val="xl38"/>
        <w:pBdr>
          <w:bottom w:val="none" w:sz="0" w:space="0" w:color="auto"/>
        </w:pBdr>
        <w:spacing w:before="0" w:beforeAutospacing="0" w:after="0" w:afterAutospacing="0" w:line="360" w:lineRule="auto"/>
        <w:ind w:right="282"/>
        <w:jc w:val="both"/>
        <w:rPr>
          <w:rFonts w:eastAsia="Times New Roman" w:cs="Times New Roman"/>
          <w:b w:val="0"/>
          <w:sz w:val="20"/>
          <w:szCs w:val="18"/>
          <w:lang w:val="en-US" w:eastAsia="en-US"/>
        </w:rPr>
      </w:pPr>
    </w:p>
    <w:p w:rsidR="004B417C" w:rsidRDefault="004B417C">
      <w:pPr>
        <w:pStyle w:val="xl38"/>
        <w:pBdr>
          <w:bottom w:val="none" w:sz="0" w:space="0" w:color="auto"/>
        </w:pBdr>
        <w:spacing w:before="0" w:beforeAutospacing="0" w:after="0" w:afterAutospacing="0" w:line="360" w:lineRule="auto"/>
        <w:ind w:right="282"/>
        <w:jc w:val="both"/>
        <w:rPr>
          <w:rFonts w:eastAsia="Times New Roman" w:cs="Times New Roman"/>
          <w:b w:val="0"/>
          <w:sz w:val="20"/>
          <w:szCs w:val="18"/>
          <w:lang w:val="en-US" w:eastAsia="en-US"/>
        </w:rPr>
      </w:pPr>
    </w:p>
    <w:p w:rsidR="004B417C" w:rsidRDefault="004B417C">
      <w:pPr>
        <w:pStyle w:val="xl38"/>
        <w:pBdr>
          <w:bottom w:val="none" w:sz="0" w:space="0" w:color="auto"/>
        </w:pBdr>
        <w:spacing w:before="0" w:beforeAutospacing="0" w:after="0" w:afterAutospacing="0" w:line="360" w:lineRule="auto"/>
        <w:ind w:right="282"/>
        <w:jc w:val="both"/>
        <w:rPr>
          <w:rFonts w:eastAsia="Times New Roman" w:cs="Times New Roman"/>
          <w:b w:val="0"/>
          <w:sz w:val="20"/>
          <w:szCs w:val="18"/>
          <w:lang w:val="en-US" w:eastAsia="en-US"/>
        </w:rPr>
      </w:pPr>
    </w:p>
    <w:p w:rsidR="004B417C" w:rsidRDefault="004B417C">
      <w:pPr>
        <w:pStyle w:val="xl38"/>
        <w:pBdr>
          <w:bottom w:val="none" w:sz="0" w:space="0" w:color="auto"/>
        </w:pBdr>
        <w:spacing w:before="0" w:beforeAutospacing="0" w:after="0" w:afterAutospacing="0" w:line="360" w:lineRule="auto"/>
        <w:ind w:right="282"/>
        <w:jc w:val="both"/>
        <w:rPr>
          <w:rFonts w:eastAsia="Times New Roman" w:cs="Times New Roman"/>
          <w:b w:val="0"/>
          <w:sz w:val="20"/>
          <w:szCs w:val="18"/>
          <w:lang w:val="en-US" w:eastAsia="en-US"/>
        </w:rPr>
      </w:pPr>
    </w:p>
    <w:p w:rsidR="004B417C" w:rsidRDefault="004B417C">
      <w:pPr>
        <w:pStyle w:val="xl38"/>
        <w:pBdr>
          <w:bottom w:val="none" w:sz="0" w:space="0" w:color="auto"/>
        </w:pBdr>
        <w:spacing w:before="0" w:beforeAutospacing="0" w:after="0" w:afterAutospacing="0" w:line="360" w:lineRule="auto"/>
        <w:ind w:right="282"/>
        <w:jc w:val="both"/>
        <w:rPr>
          <w:rFonts w:eastAsia="Times New Roman" w:cs="Times New Roman"/>
          <w:b w:val="0"/>
          <w:sz w:val="20"/>
          <w:szCs w:val="18"/>
          <w:lang w:val="en-US" w:eastAsia="en-US"/>
        </w:rPr>
      </w:pPr>
    </w:p>
    <w:p w:rsidR="004B417C" w:rsidRDefault="004B417C">
      <w:pPr>
        <w:pStyle w:val="xl38"/>
        <w:pBdr>
          <w:bottom w:val="none" w:sz="0" w:space="0" w:color="auto"/>
        </w:pBdr>
        <w:spacing w:before="0" w:beforeAutospacing="0" w:after="0" w:afterAutospacing="0" w:line="360" w:lineRule="auto"/>
        <w:ind w:right="282"/>
        <w:jc w:val="both"/>
        <w:rPr>
          <w:rFonts w:eastAsia="Times New Roman" w:cs="Times New Roman"/>
          <w:b w:val="0"/>
          <w:sz w:val="20"/>
          <w:szCs w:val="18"/>
          <w:lang w:val="en-US" w:eastAsia="en-US"/>
        </w:rPr>
      </w:pPr>
    </w:p>
    <w:p w:rsidR="004B417C" w:rsidRDefault="004B417C">
      <w:pPr>
        <w:pStyle w:val="xl38"/>
        <w:pBdr>
          <w:bottom w:val="none" w:sz="0" w:space="0" w:color="auto"/>
        </w:pBdr>
        <w:spacing w:before="0" w:beforeAutospacing="0" w:after="0" w:afterAutospacing="0" w:line="360" w:lineRule="auto"/>
        <w:ind w:right="282"/>
        <w:jc w:val="both"/>
        <w:rPr>
          <w:rFonts w:eastAsia="Times New Roman" w:cs="Times New Roman"/>
          <w:b w:val="0"/>
          <w:sz w:val="20"/>
          <w:szCs w:val="18"/>
          <w:lang w:val="en-US" w:eastAsia="en-US"/>
        </w:rPr>
      </w:pPr>
    </w:p>
    <w:p w:rsidR="004B417C" w:rsidRDefault="004B417C">
      <w:pPr>
        <w:pStyle w:val="xl38"/>
        <w:pBdr>
          <w:bottom w:val="none" w:sz="0" w:space="0" w:color="auto"/>
        </w:pBdr>
        <w:spacing w:before="0" w:beforeAutospacing="0" w:after="0" w:afterAutospacing="0" w:line="360" w:lineRule="auto"/>
        <w:ind w:right="282"/>
        <w:jc w:val="both"/>
        <w:rPr>
          <w:rFonts w:eastAsia="Times New Roman" w:cs="Times New Roman"/>
          <w:b w:val="0"/>
          <w:sz w:val="20"/>
          <w:szCs w:val="18"/>
          <w:lang w:val="en-US" w:eastAsia="en-US"/>
        </w:rPr>
      </w:pPr>
    </w:p>
    <w:p w:rsidR="004B417C" w:rsidRDefault="004B417C">
      <w:pPr>
        <w:pStyle w:val="xl38"/>
        <w:pBdr>
          <w:bottom w:val="none" w:sz="0" w:space="0" w:color="auto"/>
        </w:pBdr>
        <w:spacing w:before="0" w:beforeAutospacing="0" w:after="0" w:afterAutospacing="0" w:line="360" w:lineRule="auto"/>
        <w:ind w:right="282"/>
        <w:jc w:val="both"/>
        <w:rPr>
          <w:rFonts w:eastAsia="Times New Roman" w:cs="Times New Roman"/>
          <w:b w:val="0"/>
          <w:sz w:val="20"/>
          <w:szCs w:val="18"/>
          <w:lang w:val="en-US" w:eastAsia="en-US"/>
        </w:rPr>
      </w:pPr>
    </w:p>
    <w:p w:rsidR="004B417C" w:rsidRDefault="004B417C">
      <w:pPr>
        <w:pStyle w:val="xl38"/>
        <w:pBdr>
          <w:bottom w:val="none" w:sz="0" w:space="0" w:color="auto"/>
        </w:pBdr>
        <w:spacing w:before="0" w:beforeAutospacing="0" w:after="0" w:afterAutospacing="0" w:line="360" w:lineRule="auto"/>
        <w:ind w:right="282"/>
        <w:jc w:val="both"/>
        <w:rPr>
          <w:rFonts w:eastAsia="Times New Roman" w:cs="Times New Roman"/>
          <w:b w:val="0"/>
          <w:sz w:val="20"/>
          <w:szCs w:val="18"/>
          <w:lang w:eastAsia="en-US"/>
        </w:rPr>
      </w:pPr>
    </w:p>
    <w:p w:rsidR="004B417C" w:rsidRDefault="004B417C">
      <w:pPr>
        <w:pStyle w:val="xl38"/>
        <w:pBdr>
          <w:bottom w:val="none" w:sz="0" w:space="0" w:color="auto"/>
        </w:pBdr>
        <w:spacing w:before="0" w:beforeAutospacing="0" w:after="0" w:afterAutospacing="0" w:line="360" w:lineRule="auto"/>
        <w:ind w:right="282"/>
        <w:jc w:val="both"/>
        <w:rPr>
          <w:rFonts w:eastAsia="Times New Roman" w:cs="Times New Roman"/>
          <w:b w:val="0"/>
          <w:sz w:val="20"/>
          <w:szCs w:val="18"/>
          <w:lang w:val="en-US" w:eastAsia="en-US"/>
        </w:rPr>
      </w:pPr>
    </w:p>
    <w:p w:rsidR="004B417C" w:rsidRDefault="004B417C">
      <w:pPr>
        <w:pStyle w:val="xl38"/>
        <w:pBdr>
          <w:bottom w:val="none" w:sz="0" w:space="0" w:color="auto"/>
        </w:pBdr>
        <w:spacing w:before="0" w:beforeAutospacing="0" w:after="0" w:afterAutospacing="0" w:line="360" w:lineRule="auto"/>
        <w:ind w:right="282"/>
        <w:jc w:val="both"/>
        <w:rPr>
          <w:rFonts w:eastAsia="Times New Roman" w:cs="Times New Roman"/>
          <w:b w:val="0"/>
          <w:sz w:val="20"/>
          <w:szCs w:val="18"/>
          <w:lang w:val="en-US" w:eastAsia="en-US"/>
        </w:rPr>
      </w:pPr>
    </w:p>
    <w:p w:rsidR="004B417C" w:rsidRDefault="004B417C">
      <w:pPr>
        <w:pStyle w:val="xl38"/>
        <w:pBdr>
          <w:bottom w:val="none" w:sz="0" w:space="0" w:color="auto"/>
        </w:pBdr>
        <w:spacing w:before="0" w:beforeAutospacing="0" w:after="0" w:afterAutospacing="0" w:line="360" w:lineRule="auto"/>
        <w:ind w:right="282"/>
        <w:jc w:val="both"/>
        <w:rPr>
          <w:rFonts w:eastAsia="Times New Roman" w:cs="Times New Roman"/>
          <w:b w:val="0"/>
          <w:sz w:val="20"/>
          <w:szCs w:val="18"/>
          <w:lang w:val="en-US" w:eastAsia="en-US"/>
        </w:rPr>
      </w:pPr>
    </w:p>
    <w:p w:rsidR="004B417C" w:rsidRDefault="004B417C">
      <w:pPr>
        <w:pStyle w:val="xl38"/>
        <w:pBdr>
          <w:bottom w:val="none" w:sz="0" w:space="0" w:color="auto"/>
        </w:pBdr>
        <w:spacing w:before="0" w:beforeAutospacing="0" w:after="0" w:afterAutospacing="0" w:line="360" w:lineRule="auto"/>
        <w:ind w:right="282"/>
        <w:jc w:val="both"/>
        <w:rPr>
          <w:rFonts w:eastAsia="Times New Roman" w:cs="Times New Roman"/>
          <w:b w:val="0"/>
          <w:sz w:val="20"/>
          <w:szCs w:val="18"/>
          <w:lang w:val="en-US" w:eastAsia="en-US"/>
        </w:rPr>
      </w:pPr>
    </w:p>
    <w:p w:rsidR="004B417C" w:rsidRDefault="004B417C" w:rsidP="00A57F38">
      <w:pPr>
        <w:pStyle w:val="xl38"/>
        <w:pBdr>
          <w:bottom w:val="none" w:sz="0" w:space="0" w:color="auto"/>
        </w:pBdr>
        <w:spacing w:before="0" w:beforeAutospacing="0" w:after="0" w:afterAutospacing="0" w:line="360" w:lineRule="auto"/>
        <w:jc w:val="both"/>
        <w:rPr>
          <w:rFonts w:eastAsia="Times New Roman" w:cs="Times New Roman"/>
          <w:b w:val="0"/>
          <w:sz w:val="20"/>
          <w:szCs w:val="18"/>
          <w:lang w:eastAsia="en-US"/>
        </w:rPr>
      </w:pPr>
    </w:p>
    <w:p w:rsidR="004B417C" w:rsidRDefault="004B417C" w:rsidP="00A57F38">
      <w:pPr>
        <w:pStyle w:val="xl38"/>
        <w:pBdr>
          <w:bottom w:val="none" w:sz="0" w:space="0" w:color="auto"/>
        </w:pBdr>
        <w:spacing w:before="0" w:beforeAutospacing="0" w:after="0" w:afterAutospacing="0" w:line="360" w:lineRule="auto"/>
        <w:jc w:val="both"/>
        <w:rPr>
          <w:rFonts w:eastAsia="Times New Roman" w:cs="Times New Roman"/>
          <w:b w:val="0"/>
          <w:sz w:val="20"/>
          <w:szCs w:val="18"/>
          <w:lang w:eastAsia="en-US"/>
        </w:rPr>
      </w:pPr>
    </w:p>
    <w:p w:rsidR="004B417C" w:rsidRDefault="004B417C" w:rsidP="00A57F38">
      <w:pPr>
        <w:pStyle w:val="xl38"/>
        <w:pBdr>
          <w:bottom w:val="none" w:sz="0" w:space="0" w:color="auto"/>
        </w:pBdr>
        <w:spacing w:before="0" w:beforeAutospacing="0" w:after="0" w:afterAutospacing="0" w:line="360" w:lineRule="auto"/>
        <w:jc w:val="both"/>
        <w:rPr>
          <w:rFonts w:eastAsia="Times New Roman" w:cs="Times New Roman"/>
          <w:b w:val="0"/>
          <w:sz w:val="20"/>
          <w:szCs w:val="18"/>
          <w:lang w:eastAsia="en-US"/>
        </w:rPr>
      </w:pPr>
    </w:p>
    <w:p w:rsidR="004B417C" w:rsidRDefault="004B417C" w:rsidP="00A57F38">
      <w:pPr>
        <w:pStyle w:val="xl38"/>
        <w:pBdr>
          <w:bottom w:val="none" w:sz="0" w:space="0" w:color="auto"/>
        </w:pBdr>
        <w:spacing w:before="0" w:beforeAutospacing="0" w:after="0" w:afterAutospacing="0" w:line="360" w:lineRule="auto"/>
        <w:jc w:val="both"/>
        <w:rPr>
          <w:rFonts w:eastAsia="Times New Roman" w:cs="Times New Roman"/>
          <w:b w:val="0"/>
          <w:sz w:val="20"/>
          <w:szCs w:val="18"/>
          <w:lang w:eastAsia="en-US"/>
        </w:rPr>
      </w:pPr>
    </w:p>
    <w:p w:rsidR="004B417C" w:rsidRDefault="004B417C" w:rsidP="00A57F38">
      <w:pPr>
        <w:pStyle w:val="xl38"/>
        <w:pBdr>
          <w:bottom w:val="none" w:sz="0" w:space="0" w:color="auto"/>
        </w:pBdr>
        <w:spacing w:before="0" w:beforeAutospacing="0" w:after="0" w:afterAutospacing="0" w:line="360" w:lineRule="auto"/>
        <w:jc w:val="both"/>
        <w:rPr>
          <w:rFonts w:eastAsia="Times New Roman" w:cs="Times New Roman"/>
          <w:b w:val="0"/>
          <w:sz w:val="20"/>
          <w:szCs w:val="18"/>
          <w:lang w:eastAsia="en-US"/>
        </w:rPr>
      </w:pPr>
      <w:r>
        <w:rPr>
          <w:rFonts w:eastAsia="Times New Roman" w:cs="Times New Roman"/>
          <w:b w:val="0"/>
          <w:sz w:val="20"/>
          <w:szCs w:val="18"/>
          <w:lang w:eastAsia="en-US"/>
        </w:rPr>
        <w:t>Οι επισυναπτόμενες σημειώσεις  που αναφέρονται στις σελίδες από 5 έως 30</w:t>
      </w:r>
      <w:r w:rsidRPr="003141B4">
        <w:rPr>
          <w:rFonts w:eastAsia="Times New Roman" w:cs="Times New Roman"/>
          <w:b w:val="0"/>
          <w:sz w:val="20"/>
          <w:szCs w:val="18"/>
          <w:lang w:eastAsia="en-US"/>
        </w:rPr>
        <w:t xml:space="preserve"> αποτελούν αναπόσπαστο</w:t>
      </w:r>
      <w:r>
        <w:rPr>
          <w:rFonts w:eastAsia="Times New Roman" w:cs="Times New Roman"/>
          <w:b w:val="0"/>
          <w:sz w:val="20"/>
          <w:szCs w:val="18"/>
          <w:lang w:eastAsia="en-US"/>
        </w:rPr>
        <w:t xml:space="preserve"> μέρος των οικονομικών καταστάσεων.</w:t>
      </w:r>
    </w:p>
    <w:p w:rsidR="004B417C" w:rsidRPr="006B70AD" w:rsidRDefault="004B417C" w:rsidP="006B70AD">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b/>
          <w:lang w:val="el-GR"/>
        </w:rPr>
      </w:pPr>
      <w:bookmarkStart w:id="3" w:name="_Toc128477806"/>
      <w:r w:rsidRPr="006B70AD">
        <w:rPr>
          <w:b/>
          <w:lang w:val="el-GR"/>
        </w:rPr>
        <w:lastRenderedPageBreak/>
        <w:t>Κατάσταση ταμειακών ροών</w:t>
      </w:r>
      <w:bookmarkEnd w:id="3"/>
    </w:p>
    <w:p w:rsidR="004B417C" w:rsidRPr="00AD0BAF" w:rsidRDefault="004B417C">
      <w:pPr>
        <w:rPr>
          <w:b/>
          <w:lang w:val="el-GR"/>
        </w:rPr>
      </w:pPr>
      <w:r w:rsidRPr="00AD0BAF">
        <w:rPr>
          <w:b/>
          <w:lang w:val="el-GR"/>
        </w:rPr>
        <w:t>Για τη χρήση που έληξε 31 Δεκεμβρίου</w:t>
      </w:r>
      <w:r>
        <w:rPr>
          <w:b/>
          <w:lang w:val="el-GR"/>
        </w:rPr>
        <w:t xml:space="preserve"> </w:t>
      </w:r>
    </w:p>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lang w:val="el-GR"/>
        </w:rPr>
      </w:pPr>
    </w:p>
    <w:tbl>
      <w:tblPr>
        <w:tblW w:w="8691" w:type="dxa"/>
        <w:tblInd w:w="108" w:type="dxa"/>
        <w:tblLook w:val="0000"/>
      </w:tblPr>
      <w:tblGrid>
        <w:gridCol w:w="4962"/>
        <w:gridCol w:w="1454"/>
        <w:gridCol w:w="327"/>
        <w:gridCol w:w="1374"/>
        <w:gridCol w:w="574"/>
      </w:tblGrid>
      <w:tr w:rsidR="004B417C" w:rsidRPr="00915E21">
        <w:trPr>
          <w:trHeight w:val="284"/>
        </w:trPr>
        <w:tc>
          <w:tcPr>
            <w:tcW w:w="4962" w:type="dxa"/>
            <w:tcBorders>
              <w:left w:val="nil"/>
              <w:bottom w:val="nil"/>
              <w:right w:val="nil"/>
            </w:tcBorders>
            <w:noWrap/>
            <w:vAlign w:val="center"/>
          </w:tcPr>
          <w:p w:rsidR="004B417C" w:rsidRPr="00915E21" w:rsidRDefault="004B417C">
            <w:pPr>
              <w:tabs>
                <w:tab w:val="clear" w:pos="454"/>
                <w:tab w:val="clear" w:pos="680"/>
                <w:tab w:val="clear" w:pos="907"/>
                <w:tab w:val="clear" w:pos="1644"/>
                <w:tab w:val="clear" w:pos="1871"/>
                <w:tab w:val="clear" w:pos="2580"/>
                <w:tab w:val="clear" w:pos="2807"/>
                <w:tab w:val="clear" w:pos="3515"/>
                <w:tab w:val="clear" w:pos="4451"/>
                <w:tab w:val="clear" w:pos="4678"/>
                <w:tab w:val="clear" w:pos="5387"/>
                <w:tab w:val="clear" w:pos="5613"/>
                <w:tab w:val="clear" w:pos="6322"/>
                <w:tab w:val="clear" w:pos="6549"/>
              </w:tabs>
              <w:rPr>
                <w:i/>
                <w:sz w:val="18"/>
                <w:szCs w:val="18"/>
                <w:lang w:val="el-GR"/>
              </w:rPr>
            </w:pPr>
            <w:r w:rsidRPr="00915E21">
              <w:rPr>
                <w:i/>
                <w:sz w:val="18"/>
                <w:szCs w:val="18"/>
                <w:lang w:val="el-GR"/>
              </w:rPr>
              <w:t>Ποσά σε χιλιάδες Ευρώ</w:t>
            </w:r>
          </w:p>
        </w:tc>
        <w:tc>
          <w:tcPr>
            <w:tcW w:w="1454" w:type="dxa"/>
            <w:tcBorders>
              <w:left w:val="nil"/>
              <w:right w:val="nil"/>
            </w:tcBorders>
            <w:vAlign w:val="center"/>
          </w:tcPr>
          <w:p w:rsidR="004B417C" w:rsidRPr="00915E21"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s>
              <w:jc w:val="center"/>
              <w:rPr>
                <w:b/>
                <w:szCs w:val="22"/>
                <w:lang w:val="el-GR"/>
              </w:rPr>
            </w:pPr>
          </w:p>
        </w:tc>
        <w:tc>
          <w:tcPr>
            <w:tcW w:w="327" w:type="dxa"/>
            <w:tcBorders>
              <w:left w:val="nil"/>
              <w:right w:val="nil"/>
            </w:tcBorders>
            <w:vAlign w:val="center"/>
          </w:tcPr>
          <w:p w:rsidR="004B417C" w:rsidRPr="00915E21" w:rsidRDefault="004B417C">
            <w:pPr>
              <w:tabs>
                <w:tab w:val="clear" w:pos="227"/>
                <w:tab w:val="clear" w:pos="454"/>
                <w:tab w:val="clear" w:pos="680"/>
                <w:tab w:val="clear" w:pos="907"/>
                <w:tab w:val="clear" w:pos="1644"/>
                <w:tab w:val="clear" w:pos="1871"/>
                <w:tab w:val="clear" w:pos="2580"/>
                <w:tab w:val="clear" w:pos="2807"/>
                <w:tab w:val="clear" w:pos="3515"/>
              </w:tabs>
              <w:jc w:val="center"/>
              <w:rPr>
                <w:sz w:val="20"/>
                <w:lang w:val="el-GR"/>
              </w:rPr>
            </w:pPr>
          </w:p>
        </w:tc>
        <w:tc>
          <w:tcPr>
            <w:tcW w:w="1374" w:type="dxa"/>
            <w:tcBorders>
              <w:left w:val="nil"/>
              <w:right w:val="nil"/>
            </w:tcBorders>
            <w:noWrap/>
            <w:vAlign w:val="center"/>
          </w:tcPr>
          <w:p w:rsidR="004B417C" w:rsidRPr="00915E21" w:rsidRDefault="004B417C">
            <w:pPr>
              <w:tabs>
                <w:tab w:val="clear" w:pos="227"/>
                <w:tab w:val="clear" w:pos="454"/>
                <w:tab w:val="clear" w:pos="680"/>
                <w:tab w:val="clear" w:pos="907"/>
                <w:tab w:val="clear" w:pos="1644"/>
                <w:tab w:val="clear" w:pos="1871"/>
                <w:tab w:val="clear" w:pos="2580"/>
                <w:tab w:val="clear" w:pos="2807"/>
                <w:tab w:val="clear" w:pos="3515"/>
              </w:tabs>
              <w:jc w:val="center"/>
              <w:rPr>
                <w:b/>
                <w:szCs w:val="22"/>
                <w:lang w:val="el-GR"/>
              </w:rPr>
            </w:pPr>
          </w:p>
        </w:tc>
        <w:tc>
          <w:tcPr>
            <w:tcW w:w="574" w:type="dxa"/>
            <w:tcBorders>
              <w:top w:val="nil"/>
              <w:left w:val="nil"/>
              <w:right w:val="nil"/>
            </w:tcBorders>
            <w:vAlign w:val="center"/>
          </w:tcPr>
          <w:p w:rsidR="004B417C" w:rsidRPr="00915E21" w:rsidRDefault="004B417C">
            <w:pPr>
              <w:jc w:val="center"/>
              <w:rPr>
                <w:szCs w:val="22"/>
                <w:lang w:val="el-GR"/>
              </w:rPr>
            </w:pPr>
          </w:p>
        </w:tc>
      </w:tr>
      <w:tr w:rsidR="004B417C" w:rsidRPr="00915E21">
        <w:trPr>
          <w:trHeight w:val="284"/>
        </w:trPr>
        <w:tc>
          <w:tcPr>
            <w:tcW w:w="4962" w:type="dxa"/>
            <w:tcBorders>
              <w:left w:val="nil"/>
              <w:bottom w:val="nil"/>
              <w:right w:val="nil"/>
            </w:tcBorders>
            <w:noWrap/>
            <w:vAlign w:val="center"/>
          </w:tcPr>
          <w:p w:rsidR="004B417C" w:rsidRPr="00915E21" w:rsidRDefault="004B417C">
            <w:pPr>
              <w:tabs>
                <w:tab w:val="clear" w:pos="454"/>
                <w:tab w:val="clear" w:pos="680"/>
                <w:tab w:val="clear" w:pos="907"/>
                <w:tab w:val="clear" w:pos="1644"/>
                <w:tab w:val="clear" w:pos="1871"/>
                <w:tab w:val="clear" w:pos="2580"/>
                <w:tab w:val="clear" w:pos="2807"/>
                <w:tab w:val="clear" w:pos="3515"/>
                <w:tab w:val="clear" w:pos="4451"/>
                <w:tab w:val="clear" w:pos="4678"/>
                <w:tab w:val="clear" w:pos="5387"/>
                <w:tab w:val="clear" w:pos="5613"/>
                <w:tab w:val="clear" w:pos="6322"/>
                <w:tab w:val="clear" w:pos="6549"/>
              </w:tabs>
              <w:rPr>
                <w:szCs w:val="22"/>
                <w:lang w:val="el-GR"/>
              </w:rPr>
            </w:pPr>
          </w:p>
        </w:tc>
        <w:tc>
          <w:tcPr>
            <w:tcW w:w="1454" w:type="dxa"/>
            <w:tcBorders>
              <w:left w:val="nil"/>
              <w:bottom w:val="single" w:sz="4" w:space="0" w:color="auto"/>
              <w:right w:val="nil"/>
            </w:tcBorders>
            <w:vAlign w:val="center"/>
          </w:tcPr>
          <w:p w:rsidR="004B417C" w:rsidRPr="00915E21"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s>
              <w:jc w:val="right"/>
              <w:rPr>
                <w:b/>
                <w:szCs w:val="22"/>
              </w:rPr>
            </w:pPr>
            <w:r w:rsidRPr="00915E21">
              <w:rPr>
                <w:b/>
                <w:szCs w:val="22"/>
              </w:rPr>
              <w:t>2012</w:t>
            </w:r>
          </w:p>
        </w:tc>
        <w:tc>
          <w:tcPr>
            <w:tcW w:w="327" w:type="dxa"/>
            <w:tcBorders>
              <w:left w:val="nil"/>
              <w:right w:val="nil"/>
            </w:tcBorders>
            <w:vAlign w:val="center"/>
          </w:tcPr>
          <w:p w:rsidR="004B417C" w:rsidRPr="00915E21" w:rsidRDefault="004B417C">
            <w:pPr>
              <w:tabs>
                <w:tab w:val="clear" w:pos="227"/>
                <w:tab w:val="clear" w:pos="454"/>
                <w:tab w:val="clear" w:pos="680"/>
                <w:tab w:val="clear" w:pos="907"/>
                <w:tab w:val="clear" w:pos="1644"/>
                <w:tab w:val="clear" w:pos="1871"/>
                <w:tab w:val="clear" w:pos="2580"/>
                <w:tab w:val="clear" w:pos="2807"/>
                <w:tab w:val="clear" w:pos="3515"/>
              </w:tabs>
              <w:jc w:val="right"/>
              <w:rPr>
                <w:sz w:val="20"/>
                <w:lang w:val="el-GR"/>
              </w:rPr>
            </w:pPr>
          </w:p>
        </w:tc>
        <w:tc>
          <w:tcPr>
            <w:tcW w:w="1374" w:type="dxa"/>
            <w:tcBorders>
              <w:left w:val="nil"/>
              <w:bottom w:val="single" w:sz="4" w:space="0" w:color="auto"/>
              <w:right w:val="nil"/>
            </w:tcBorders>
            <w:noWrap/>
            <w:vAlign w:val="center"/>
          </w:tcPr>
          <w:p w:rsidR="004B417C" w:rsidRPr="00894E5E"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s>
              <w:jc w:val="right"/>
              <w:rPr>
                <w:b/>
                <w:szCs w:val="22"/>
                <w:highlight w:val="yellow"/>
              </w:rPr>
            </w:pPr>
            <w:r w:rsidRPr="004F015B">
              <w:rPr>
                <w:b/>
                <w:szCs w:val="22"/>
                <w:lang w:val="el-GR"/>
              </w:rPr>
              <w:t>201</w:t>
            </w:r>
            <w:r w:rsidRPr="004F015B">
              <w:rPr>
                <w:b/>
                <w:szCs w:val="22"/>
              </w:rPr>
              <w:t>1</w:t>
            </w:r>
          </w:p>
        </w:tc>
        <w:tc>
          <w:tcPr>
            <w:tcW w:w="574" w:type="dxa"/>
            <w:tcBorders>
              <w:top w:val="nil"/>
              <w:left w:val="nil"/>
              <w:right w:val="nil"/>
            </w:tcBorders>
            <w:vAlign w:val="center"/>
          </w:tcPr>
          <w:p w:rsidR="004B417C" w:rsidRPr="00915E21" w:rsidRDefault="004B417C">
            <w:pPr>
              <w:jc w:val="center"/>
              <w:rPr>
                <w:szCs w:val="22"/>
                <w:lang w:val="el-GR"/>
              </w:rPr>
            </w:pPr>
          </w:p>
        </w:tc>
      </w:tr>
      <w:tr w:rsidR="004B417C" w:rsidRPr="00915E21">
        <w:trPr>
          <w:trHeight w:val="284"/>
        </w:trPr>
        <w:tc>
          <w:tcPr>
            <w:tcW w:w="4962" w:type="dxa"/>
            <w:tcBorders>
              <w:top w:val="nil"/>
              <w:left w:val="nil"/>
              <w:bottom w:val="nil"/>
              <w:right w:val="nil"/>
            </w:tcBorders>
            <w:noWrap/>
            <w:vAlign w:val="center"/>
          </w:tcPr>
          <w:p w:rsidR="004B417C" w:rsidRPr="00915E21"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b/>
                <w:szCs w:val="22"/>
                <w:lang w:val="el-GR"/>
              </w:rPr>
            </w:pPr>
          </w:p>
        </w:tc>
        <w:tc>
          <w:tcPr>
            <w:tcW w:w="1454" w:type="dxa"/>
            <w:tcBorders>
              <w:top w:val="single" w:sz="4" w:space="0" w:color="auto"/>
              <w:left w:val="nil"/>
              <w:bottom w:val="nil"/>
              <w:right w:val="nil"/>
            </w:tcBorders>
            <w:vAlign w:val="center"/>
          </w:tcPr>
          <w:p w:rsidR="004B417C" w:rsidRPr="00915E21"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s>
              <w:jc w:val="right"/>
              <w:rPr>
                <w:szCs w:val="22"/>
                <w:lang w:val="el-GR"/>
              </w:rPr>
            </w:pPr>
          </w:p>
        </w:tc>
        <w:tc>
          <w:tcPr>
            <w:tcW w:w="327" w:type="dxa"/>
            <w:tcBorders>
              <w:left w:val="nil"/>
              <w:bottom w:val="nil"/>
              <w:right w:val="nil"/>
            </w:tcBorders>
            <w:vAlign w:val="center"/>
          </w:tcPr>
          <w:p w:rsidR="004B417C" w:rsidRPr="00915E21" w:rsidRDefault="004B417C">
            <w:pPr>
              <w:jc w:val="right"/>
              <w:rPr>
                <w:sz w:val="20"/>
                <w:lang w:val="el-GR"/>
              </w:rPr>
            </w:pPr>
          </w:p>
        </w:tc>
        <w:tc>
          <w:tcPr>
            <w:tcW w:w="1374" w:type="dxa"/>
            <w:tcBorders>
              <w:top w:val="single" w:sz="4" w:space="0" w:color="auto"/>
              <w:left w:val="nil"/>
              <w:bottom w:val="nil"/>
              <w:right w:val="nil"/>
            </w:tcBorders>
            <w:noWrap/>
            <w:vAlign w:val="center"/>
          </w:tcPr>
          <w:p w:rsidR="004B417C" w:rsidRPr="00894E5E"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s>
              <w:jc w:val="right"/>
              <w:rPr>
                <w:szCs w:val="22"/>
                <w:highlight w:val="yellow"/>
                <w:lang w:val="el-GR"/>
              </w:rPr>
            </w:pPr>
          </w:p>
        </w:tc>
        <w:tc>
          <w:tcPr>
            <w:tcW w:w="574" w:type="dxa"/>
            <w:tcBorders>
              <w:top w:val="nil"/>
              <w:left w:val="nil"/>
              <w:bottom w:val="nil"/>
              <w:right w:val="nil"/>
            </w:tcBorders>
            <w:vAlign w:val="center"/>
          </w:tcPr>
          <w:p w:rsidR="004B417C" w:rsidRPr="00915E21" w:rsidRDefault="004B417C">
            <w:pPr>
              <w:tabs>
                <w:tab w:val="clear" w:pos="227"/>
                <w:tab w:val="clear" w:pos="454"/>
                <w:tab w:val="clear" w:pos="680"/>
                <w:tab w:val="clear" w:pos="907"/>
                <w:tab w:val="clear" w:pos="1644"/>
                <w:tab w:val="clear" w:pos="1871"/>
                <w:tab w:val="clear" w:pos="2580"/>
                <w:tab w:val="clear" w:pos="2807"/>
              </w:tabs>
              <w:jc w:val="right"/>
              <w:rPr>
                <w:szCs w:val="22"/>
                <w:lang w:val="el-GR"/>
              </w:rPr>
            </w:pPr>
          </w:p>
        </w:tc>
      </w:tr>
      <w:tr w:rsidR="004B417C" w:rsidRPr="00BD73D4" w:rsidTr="00726059">
        <w:trPr>
          <w:trHeight w:val="361"/>
        </w:trPr>
        <w:tc>
          <w:tcPr>
            <w:tcW w:w="4962" w:type="dxa"/>
            <w:tcBorders>
              <w:top w:val="nil"/>
              <w:left w:val="nil"/>
              <w:right w:val="nil"/>
            </w:tcBorders>
            <w:noWrap/>
            <w:vAlign w:val="center"/>
          </w:tcPr>
          <w:p w:rsidR="004B417C" w:rsidRPr="00915E21" w:rsidRDefault="004B417C">
            <w:pPr>
              <w:pStyle w:val="AAheadingwocontents"/>
              <w:spacing w:line="240" w:lineRule="atLeast"/>
              <w:rPr>
                <w:bCs/>
                <w:szCs w:val="22"/>
                <w:lang w:val="el-GR"/>
              </w:rPr>
            </w:pPr>
            <w:r w:rsidRPr="00915E21">
              <w:rPr>
                <w:bCs/>
                <w:szCs w:val="22"/>
                <w:lang w:val="el-GR"/>
              </w:rPr>
              <w:t>Ταµειακές ροές από λειτουργικές δραστηριότητες</w:t>
            </w:r>
          </w:p>
        </w:tc>
        <w:tc>
          <w:tcPr>
            <w:tcW w:w="1454" w:type="dxa"/>
            <w:tcBorders>
              <w:top w:val="nil"/>
              <w:left w:val="nil"/>
              <w:right w:val="nil"/>
            </w:tcBorders>
            <w:vAlign w:val="center"/>
          </w:tcPr>
          <w:p w:rsidR="004B417C" w:rsidRPr="00915E21"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color w:val="FF0000"/>
                <w:szCs w:val="22"/>
                <w:lang w:val="el-GR"/>
              </w:rPr>
            </w:pPr>
          </w:p>
        </w:tc>
        <w:tc>
          <w:tcPr>
            <w:tcW w:w="327" w:type="dxa"/>
            <w:tcBorders>
              <w:top w:val="nil"/>
              <w:left w:val="nil"/>
              <w:right w:val="nil"/>
            </w:tcBorders>
            <w:vAlign w:val="center"/>
          </w:tcPr>
          <w:p w:rsidR="004B417C" w:rsidRPr="00915E21"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color w:val="FF0000"/>
                <w:sz w:val="20"/>
                <w:lang w:val="el-GR"/>
              </w:rPr>
            </w:pPr>
          </w:p>
        </w:tc>
        <w:tc>
          <w:tcPr>
            <w:tcW w:w="1374" w:type="dxa"/>
            <w:tcBorders>
              <w:top w:val="nil"/>
              <w:left w:val="nil"/>
              <w:right w:val="nil"/>
            </w:tcBorders>
            <w:noWrap/>
            <w:vAlign w:val="center"/>
          </w:tcPr>
          <w:p w:rsidR="004B417C" w:rsidRPr="00894E5E"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color w:val="FF0000"/>
                <w:szCs w:val="22"/>
                <w:highlight w:val="yellow"/>
                <w:lang w:val="el-GR"/>
              </w:rPr>
            </w:pPr>
          </w:p>
        </w:tc>
        <w:tc>
          <w:tcPr>
            <w:tcW w:w="574" w:type="dxa"/>
            <w:tcBorders>
              <w:top w:val="nil"/>
              <w:left w:val="nil"/>
              <w:right w:val="nil"/>
            </w:tcBorders>
            <w:vAlign w:val="center"/>
          </w:tcPr>
          <w:p w:rsidR="004B417C" w:rsidRPr="00915E21"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color w:val="FF0000"/>
                <w:szCs w:val="22"/>
                <w:lang w:val="el-GR"/>
              </w:rPr>
            </w:pPr>
          </w:p>
        </w:tc>
      </w:tr>
      <w:tr w:rsidR="004B417C" w:rsidRPr="00915E21">
        <w:trPr>
          <w:trHeight w:val="340"/>
        </w:trPr>
        <w:tc>
          <w:tcPr>
            <w:tcW w:w="4962" w:type="dxa"/>
            <w:tcBorders>
              <w:top w:val="nil"/>
              <w:left w:val="nil"/>
              <w:bottom w:val="nil"/>
              <w:right w:val="nil"/>
            </w:tcBorders>
            <w:noWrap/>
            <w:vAlign w:val="center"/>
          </w:tcPr>
          <w:p w:rsidR="004B417C" w:rsidRPr="00915E21" w:rsidRDefault="004B417C">
            <w:pPr>
              <w:pStyle w:val="Header"/>
              <w:tabs>
                <w:tab w:val="clear" w:pos="4536"/>
                <w:tab w:val="clear" w:pos="9072"/>
              </w:tabs>
              <w:rPr>
                <w:szCs w:val="22"/>
                <w:lang w:val="el-GR"/>
              </w:rPr>
            </w:pPr>
            <w:r w:rsidRPr="00915E21">
              <w:rPr>
                <w:szCs w:val="22"/>
                <w:lang w:val="el-GR"/>
              </w:rPr>
              <w:t>Ζημίες χρήσεως προ φόρων</w:t>
            </w:r>
          </w:p>
        </w:tc>
        <w:tc>
          <w:tcPr>
            <w:tcW w:w="1454" w:type="dxa"/>
            <w:tcBorders>
              <w:top w:val="nil"/>
              <w:left w:val="nil"/>
              <w:bottom w:val="single" w:sz="4" w:space="0" w:color="auto"/>
              <w:right w:val="nil"/>
            </w:tcBorders>
            <w:vAlign w:val="bottom"/>
          </w:tcPr>
          <w:p w:rsidR="004B417C" w:rsidRPr="00915E21" w:rsidRDefault="004B417C">
            <w:pPr>
              <w:jc w:val="right"/>
              <w:rPr>
                <w:szCs w:val="22"/>
              </w:rPr>
            </w:pPr>
            <w:r w:rsidRPr="00915E21">
              <w:rPr>
                <w:szCs w:val="22"/>
              </w:rPr>
              <w:t>(</w:t>
            </w:r>
            <w:r w:rsidRPr="00915E21">
              <w:rPr>
                <w:szCs w:val="22"/>
                <w:lang w:val="el-GR"/>
              </w:rPr>
              <w:t>65.450</w:t>
            </w:r>
            <w:r w:rsidRPr="00915E21">
              <w:rPr>
                <w:szCs w:val="22"/>
              </w:rPr>
              <w:t>)</w:t>
            </w:r>
          </w:p>
        </w:tc>
        <w:tc>
          <w:tcPr>
            <w:tcW w:w="327" w:type="dxa"/>
            <w:tcBorders>
              <w:top w:val="nil"/>
              <w:left w:val="nil"/>
              <w:bottom w:val="nil"/>
              <w:right w:val="nil"/>
            </w:tcBorders>
            <w:vAlign w:val="bottom"/>
          </w:tcPr>
          <w:p w:rsidR="004B417C" w:rsidRPr="00915E21" w:rsidRDefault="004B417C">
            <w:pPr>
              <w:jc w:val="right"/>
              <w:rPr>
                <w:color w:val="FF0000"/>
                <w:szCs w:val="22"/>
                <w:lang w:val="el-GR"/>
              </w:rPr>
            </w:pPr>
          </w:p>
        </w:tc>
        <w:tc>
          <w:tcPr>
            <w:tcW w:w="1374" w:type="dxa"/>
            <w:tcBorders>
              <w:top w:val="nil"/>
              <w:left w:val="nil"/>
              <w:bottom w:val="single" w:sz="4" w:space="0" w:color="auto"/>
              <w:right w:val="nil"/>
            </w:tcBorders>
            <w:noWrap/>
            <w:vAlign w:val="bottom"/>
          </w:tcPr>
          <w:p w:rsidR="004B417C" w:rsidRPr="00C2484E" w:rsidRDefault="004B417C">
            <w:pPr>
              <w:jc w:val="right"/>
              <w:rPr>
                <w:szCs w:val="22"/>
                <w:lang w:val="el-GR"/>
              </w:rPr>
            </w:pPr>
            <w:r w:rsidRPr="00C2484E">
              <w:rPr>
                <w:szCs w:val="22"/>
                <w:lang w:val="el-GR"/>
              </w:rPr>
              <w:t>(</w:t>
            </w:r>
            <w:r w:rsidRPr="00C2484E">
              <w:rPr>
                <w:szCs w:val="22"/>
              </w:rPr>
              <w:t>68.</w:t>
            </w:r>
            <w:r w:rsidRPr="00C2484E">
              <w:rPr>
                <w:szCs w:val="22"/>
                <w:lang w:val="el-GR"/>
              </w:rPr>
              <w:t>822)</w:t>
            </w:r>
          </w:p>
        </w:tc>
        <w:tc>
          <w:tcPr>
            <w:tcW w:w="574" w:type="dxa"/>
            <w:tcBorders>
              <w:top w:val="nil"/>
              <w:left w:val="nil"/>
              <w:bottom w:val="nil"/>
              <w:right w:val="nil"/>
            </w:tcBorders>
            <w:vAlign w:val="center"/>
          </w:tcPr>
          <w:p w:rsidR="004B417C" w:rsidRPr="00915E21"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color w:val="FF0000"/>
                <w:szCs w:val="22"/>
                <w:lang w:val="el-GR"/>
              </w:rPr>
            </w:pPr>
          </w:p>
        </w:tc>
      </w:tr>
      <w:tr w:rsidR="004B417C" w:rsidRPr="00915E21">
        <w:trPr>
          <w:trHeight w:val="340"/>
        </w:trPr>
        <w:tc>
          <w:tcPr>
            <w:tcW w:w="4962" w:type="dxa"/>
            <w:tcBorders>
              <w:top w:val="nil"/>
              <w:left w:val="nil"/>
              <w:bottom w:val="nil"/>
              <w:right w:val="nil"/>
            </w:tcBorders>
            <w:noWrap/>
            <w:vAlign w:val="center"/>
          </w:tcPr>
          <w:p w:rsidR="004B417C" w:rsidRPr="00915E21" w:rsidRDefault="004B417C">
            <w:pPr>
              <w:pStyle w:val="Header"/>
              <w:tabs>
                <w:tab w:val="clear" w:pos="4536"/>
                <w:tab w:val="clear" w:pos="9072"/>
              </w:tabs>
              <w:rPr>
                <w:b/>
                <w:szCs w:val="22"/>
                <w:lang w:val="el-GR"/>
              </w:rPr>
            </w:pPr>
            <w:r w:rsidRPr="00915E21">
              <w:rPr>
                <w:b/>
                <w:szCs w:val="22"/>
                <w:lang w:val="el-GR"/>
              </w:rPr>
              <w:t>Προσαρμογές για:</w:t>
            </w:r>
          </w:p>
        </w:tc>
        <w:tc>
          <w:tcPr>
            <w:tcW w:w="1454" w:type="dxa"/>
            <w:tcBorders>
              <w:top w:val="single" w:sz="4" w:space="0" w:color="auto"/>
              <w:left w:val="nil"/>
              <w:right w:val="nil"/>
            </w:tcBorders>
            <w:vAlign w:val="bottom"/>
          </w:tcPr>
          <w:p w:rsidR="004B417C" w:rsidRPr="00915E21" w:rsidRDefault="004B417C">
            <w:pPr>
              <w:jc w:val="right"/>
              <w:rPr>
                <w:color w:val="FF0000"/>
                <w:szCs w:val="22"/>
                <w:lang w:val="el-GR"/>
              </w:rPr>
            </w:pPr>
          </w:p>
        </w:tc>
        <w:tc>
          <w:tcPr>
            <w:tcW w:w="327" w:type="dxa"/>
            <w:tcBorders>
              <w:top w:val="nil"/>
              <w:left w:val="nil"/>
              <w:right w:val="nil"/>
            </w:tcBorders>
            <w:vAlign w:val="bottom"/>
          </w:tcPr>
          <w:p w:rsidR="004B417C" w:rsidRPr="00915E21" w:rsidRDefault="004B417C">
            <w:pPr>
              <w:jc w:val="right"/>
              <w:rPr>
                <w:color w:val="FF0000"/>
                <w:szCs w:val="22"/>
                <w:lang w:val="el-GR"/>
              </w:rPr>
            </w:pPr>
          </w:p>
        </w:tc>
        <w:tc>
          <w:tcPr>
            <w:tcW w:w="1374" w:type="dxa"/>
            <w:tcBorders>
              <w:top w:val="single" w:sz="4" w:space="0" w:color="auto"/>
              <w:left w:val="nil"/>
              <w:right w:val="nil"/>
            </w:tcBorders>
            <w:noWrap/>
            <w:vAlign w:val="bottom"/>
          </w:tcPr>
          <w:p w:rsidR="004B417C" w:rsidRPr="00C2484E" w:rsidRDefault="004B417C">
            <w:pPr>
              <w:jc w:val="right"/>
              <w:rPr>
                <w:color w:val="FF0000"/>
                <w:szCs w:val="22"/>
                <w:lang w:val="el-GR"/>
              </w:rPr>
            </w:pPr>
          </w:p>
        </w:tc>
        <w:tc>
          <w:tcPr>
            <w:tcW w:w="574" w:type="dxa"/>
            <w:tcBorders>
              <w:top w:val="nil"/>
              <w:left w:val="nil"/>
              <w:bottom w:val="nil"/>
              <w:right w:val="nil"/>
            </w:tcBorders>
            <w:vAlign w:val="center"/>
          </w:tcPr>
          <w:p w:rsidR="004B417C" w:rsidRPr="00915E21"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color w:val="FF0000"/>
                <w:szCs w:val="22"/>
                <w:lang w:val="el-GR"/>
              </w:rPr>
            </w:pPr>
          </w:p>
        </w:tc>
      </w:tr>
      <w:tr w:rsidR="00025BB4" w:rsidRPr="00915E21">
        <w:trPr>
          <w:trHeight w:val="340"/>
        </w:trPr>
        <w:tc>
          <w:tcPr>
            <w:tcW w:w="4962" w:type="dxa"/>
            <w:tcBorders>
              <w:left w:val="nil"/>
              <w:bottom w:val="nil"/>
              <w:right w:val="nil"/>
            </w:tcBorders>
            <w:noWrap/>
            <w:vAlign w:val="center"/>
          </w:tcPr>
          <w:p w:rsidR="00025BB4" w:rsidRPr="00025BB4" w:rsidRDefault="00025BB4" w:rsidP="00025BB4">
            <w:pPr>
              <w:rPr>
                <w:szCs w:val="22"/>
              </w:rPr>
            </w:pPr>
            <w:r w:rsidRPr="00915E21">
              <w:rPr>
                <w:szCs w:val="22"/>
                <w:lang w:val="el-GR"/>
              </w:rPr>
              <w:t xml:space="preserve">Αποσβέσεις </w:t>
            </w:r>
          </w:p>
        </w:tc>
        <w:tc>
          <w:tcPr>
            <w:tcW w:w="1454" w:type="dxa"/>
            <w:tcBorders>
              <w:left w:val="nil"/>
              <w:right w:val="nil"/>
            </w:tcBorders>
            <w:vAlign w:val="bottom"/>
          </w:tcPr>
          <w:p w:rsidR="00025BB4" w:rsidRPr="00196384" w:rsidRDefault="004A6B2D" w:rsidP="00025BB4">
            <w:pPr>
              <w:jc w:val="right"/>
              <w:rPr>
                <w:szCs w:val="22"/>
                <w:lang w:val="el-GR"/>
              </w:rPr>
            </w:pPr>
            <w:r>
              <w:rPr>
                <w:szCs w:val="22"/>
                <w:lang w:val="el-GR"/>
              </w:rPr>
              <w:t xml:space="preserve">   </w:t>
            </w:r>
            <w:r w:rsidR="00196384">
              <w:rPr>
                <w:szCs w:val="22"/>
                <w:lang w:val="el-GR"/>
              </w:rPr>
              <w:t>2.605</w:t>
            </w:r>
          </w:p>
        </w:tc>
        <w:tc>
          <w:tcPr>
            <w:tcW w:w="327" w:type="dxa"/>
            <w:tcBorders>
              <w:left w:val="nil"/>
              <w:right w:val="nil"/>
            </w:tcBorders>
            <w:vAlign w:val="bottom"/>
          </w:tcPr>
          <w:p w:rsidR="00025BB4" w:rsidRPr="00915E21" w:rsidRDefault="00025BB4" w:rsidP="00025BB4">
            <w:pPr>
              <w:jc w:val="right"/>
              <w:rPr>
                <w:color w:val="FF0000"/>
                <w:szCs w:val="22"/>
                <w:lang w:val="el-GR"/>
              </w:rPr>
            </w:pPr>
          </w:p>
        </w:tc>
        <w:tc>
          <w:tcPr>
            <w:tcW w:w="1374" w:type="dxa"/>
            <w:tcBorders>
              <w:left w:val="nil"/>
              <w:right w:val="nil"/>
            </w:tcBorders>
            <w:noWrap/>
            <w:vAlign w:val="bottom"/>
          </w:tcPr>
          <w:p w:rsidR="00025BB4" w:rsidRPr="00C2484E" w:rsidRDefault="004A6B2D" w:rsidP="00025BB4">
            <w:pPr>
              <w:jc w:val="right"/>
              <w:rPr>
                <w:szCs w:val="22"/>
                <w:lang w:val="el-GR"/>
              </w:rPr>
            </w:pPr>
            <w:r>
              <w:rPr>
                <w:szCs w:val="22"/>
                <w:lang w:val="el-GR"/>
              </w:rPr>
              <w:t>2.262</w:t>
            </w:r>
          </w:p>
        </w:tc>
        <w:tc>
          <w:tcPr>
            <w:tcW w:w="574" w:type="dxa"/>
            <w:tcBorders>
              <w:left w:val="nil"/>
              <w:bottom w:val="nil"/>
              <w:right w:val="nil"/>
            </w:tcBorders>
            <w:vAlign w:val="center"/>
          </w:tcPr>
          <w:p w:rsidR="00025BB4" w:rsidRPr="00915E21" w:rsidRDefault="00025BB4">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color w:val="FF0000"/>
                <w:szCs w:val="22"/>
                <w:lang w:val="el-GR"/>
              </w:rPr>
            </w:pPr>
          </w:p>
        </w:tc>
      </w:tr>
      <w:tr w:rsidR="00025BB4" w:rsidRPr="00915E21">
        <w:trPr>
          <w:trHeight w:val="340"/>
        </w:trPr>
        <w:tc>
          <w:tcPr>
            <w:tcW w:w="4962" w:type="dxa"/>
            <w:tcBorders>
              <w:left w:val="nil"/>
              <w:bottom w:val="nil"/>
              <w:right w:val="nil"/>
            </w:tcBorders>
            <w:noWrap/>
            <w:vAlign w:val="center"/>
          </w:tcPr>
          <w:p w:rsidR="00025BB4" w:rsidRPr="00915E21" w:rsidRDefault="00025BB4">
            <w:pPr>
              <w:pStyle w:val="Header"/>
              <w:tabs>
                <w:tab w:val="clear" w:pos="4536"/>
                <w:tab w:val="clear" w:pos="9072"/>
              </w:tabs>
              <w:rPr>
                <w:szCs w:val="22"/>
                <w:lang w:val="el-GR"/>
              </w:rPr>
            </w:pPr>
            <w:r w:rsidRPr="00915E21">
              <w:rPr>
                <w:szCs w:val="22"/>
                <w:lang w:val="el-GR"/>
              </w:rPr>
              <w:t>Απομείωση επενδυτικών ακινήτων</w:t>
            </w:r>
          </w:p>
        </w:tc>
        <w:tc>
          <w:tcPr>
            <w:tcW w:w="1454" w:type="dxa"/>
            <w:tcBorders>
              <w:left w:val="nil"/>
              <w:right w:val="nil"/>
            </w:tcBorders>
            <w:vAlign w:val="bottom"/>
          </w:tcPr>
          <w:p w:rsidR="00025BB4" w:rsidRPr="00915E21" w:rsidRDefault="00025BB4">
            <w:pPr>
              <w:jc w:val="right"/>
              <w:rPr>
                <w:szCs w:val="22"/>
                <w:lang w:val="el-GR"/>
              </w:rPr>
            </w:pPr>
            <w:r w:rsidRPr="00915E21">
              <w:rPr>
                <w:szCs w:val="22"/>
                <w:lang w:val="el-GR"/>
              </w:rPr>
              <w:t>20.309</w:t>
            </w:r>
          </w:p>
        </w:tc>
        <w:tc>
          <w:tcPr>
            <w:tcW w:w="327" w:type="dxa"/>
            <w:tcBorders>
              <w:left w:val="nil"/>
              <w:right w:val="nil"/>
            </w:tcBorders>
            <w:vAlign w:val="bottom"/>
          </w:tcPr>
          <w:p w:rsidR="00025BB4" w:rsidRPr="00915E21" w:rsidRDefault="00025BB4">
            <w:pPr>
              <w:jc w:val="right"/>
              <w:rPr>
                <w:color w:val="FF0000"/>
                <w:szCs w:val="22"/>
                <w:lang w:val="el-GR"/>
              </w:rPr>
            </w:pPr>
          </w:p>
        </w:tc>
        <w:tc>
          <w:tcPr>
            <w:tcW w:w="1374" w:type="dxa"/>
            <w:tcBorders>
              <w:left w:val="nil"/>
              <w:right w:val="nil"/>
            </w:tcBorders>
            <w:noWrap/>
            <w:vAlign w:val="bottom"/>
          </w:tcPr>
          <w:p w:rsidR="00025BB4" w:rsidRPr="00C2484E" w:rsidRDefault="00025BB4">
            <w:pPr>
              <w:jc w:val="right"/>
              <w:rPr>
                <w:szCs w:val="22"/>
                <w:lang w:val="el-GR"/>
              </w:rPr>
            </w:pPr>
            <w:r w:rsidRPr="00C2484E">
              <w:rPr>
                <w:szCs w:val="22"/>
                <w:lang w:val="el-GR"/>
              </w:rPr>
              <w:t>-</w:t>
            </w:r>
          </w:p>
        </w:tc>
        <w:tc>
          <w:tcPr>
            <w:tcW w:w="574" w:type="dxa"/>
            <w:tcBorders>
              <w:left w:val="nil"/>
              <w:bottom w:val="nil"/>
              <w:right w:val="nil"/>
            </w:tcBorders>
            <w:vAlign w:val="center"/>
          </w:tcPr>
          <w:p w:rsidR="00025BB4" w:rsidRPr="00915E21" w:rsidRDefault="00025BB4">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color w:val="FF0000"/>
                <w:szCs w:val="22"/>
                <w:lang w:val="el-GR"/>
              </w:rPr>
            </w:pPr>
          </w:p>
        </w:tc>
      </w:tr>
      <w:tr w:rsidR="00C0313B" w:rsidRPr="00915E21">
        <w:trPr>
          <w:trHeight w:val="340"/>
        </w:trPr>
        <w:tc>
          <w:tcPr>
            <w:tcW w:w="4962" w:type="dxa"/>
            <w:tcBorders>
              <w:left w:val="nil"/>
              <w:bottom w:val="nil"/>
              <w:right w:val="nil"/>
            </w:tcBorders>
            <w:noWrap/>
            <w:vAlign w:val="center"/>
          </w:tcPr>
          <w:p w:rsidR="00C0313B" w:rsidRPr="00915E21" w:rsidRDefault="00C0313B" w:rsidP="00816D0D">
            <w:pPr>
              <w:rPr>
                <w:szCs w:val="22"/>
                <w:lang w:val="el-GR"/>
              </w:rPr>
            </w:pPr>
            <w:r w:rsidRPr="00915E21">
              <w:rPr>
                <w:szCs w:val="22"/>
                <w:lang w:val="el-GR"/>
              </w:rPr>
              <w:t>Προβλέψεις</w:t>
            </w:r>
          </w:p>
        </w:tc>
        <w:tc>
          <w:tcPr>
            <w:tcW w:w="1454" w:type="dxa"/>
            <w:tcBorders>
              <w:left w:val="nil"/>
              <w:right w:val="nil"/>
            </w:tcBorders>
            <w:vAlign w:val="bottom"/>
          </w:tcPr>
          <w:p w:rsidR="00C0313B" w:rsidRPr="00915E21" w:rsidRDefault="000F2F9B" w:rsidP="00816D0D">
            <w:pPr>
              <w:jc w:val="right"/>
              <w:rPr>
                <w:szCs w:val="22"/>
                <w:lang w:val="el-GR"/>
              </w:rPr>
            </w:pPr>
            <w:r>
              <w:rPr>
                <w:szCs w:val="22"/>
                <w:lang w:val="el-GR"/>
              </w:rPr>
              <w:t>37.040</w:t>
            </w:r>
          </w:p>
        </w:tc>
        <w:tc>
          <w:tcPr>
            <w:tcW w:w="327" w:type="dxa"/>
            <w:tcBorders>
              <w:left w:val="nil"/>
              <w:right w:val="nil"/>
            </w:tcBorders>
            <w:vAlign w:val="bottom"/>
          </w:tcPr>
          <w:p w:rsidR="00C0313B" w:rsidRPr="00915E21" w:rsidRDefault="00C0313B" w:rsidP="00816D0D">
            <w:pPr>
              <w:jc w:val="right"/>
              <w:rPr>
                <w:color w:val="FF0000"/>
                <w:szCs w:val="22"/>
                <w:lang w:val="el-GR"/>
              </w:rPr>
            </w:pPr>
          </w:p>
        </w:tc>
        <w:tc>
          <w:tcPr>
            <w:tcW w:w="1374" w:type="dxa"/>
            <w:tcBorders>
              <w:left w:val="nil"/>
              <w:right w:val="nil"/>
            </w:tcBorders>
            <w:noWrap/>
            <w:vAlign w:val="bottom"/>
          </w:tcPr>
          <w:p w:rsidR="00C0313B" w:rsidRPr="00C2484E" w:rsidRDefault="00FE69DE" w:rsidP="00816D0D">
            <w:pPr>
              <w:jc w:val="right"/>
              <w:rPr>
                <w:szCs w:val="22"/>
                <w:lang w:val="el-GR"/>
              </w:rPr>
            </w:pPr>
            <w:r w:rsidRPr="00C2484E">
              <w:rPr>
                <w:szCs w:val="22"/>
              </w:rPr>
              <w:t>63.</w:t>
            </w:r>
            <w:r w:rsidRPr="00C2484E">
              <w:rPr>
                <w:szCs w:val="22"/>
                <w:lang w:val="el-GR"/>
              </w:rPr>
              <w:t>773</w:t>
            </w:r>
          </w:p>
        </w:tc>
        <w:tc>
          <w:tcPr>
            <w:tcW w:w="574" w:type="dxa"/>
            <w:tcBorders>
              <w:left w:val="nil"/>
              <w:bottom w:val="nil"/>
              <w:right w:val="nil"/>
            </w:tcBorders>
            <w:vAlign w:val="center"/>
          </w:tcPr>
          <w:p w:rsidR="00C0313B" w:rsidRPr="00915E21" w:rsidRDefault="00C0313B">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color w:val="FF0000"/>
                <w:szCs w:val="22"/>
                <w:lang w:val="el-GR"/>
              </w:rPr>
            </w:pPr>
          </w:p>
        </w:tc>
      </w:tr>
      <w:tr w:rsidR="00C0313B" w:rsidRPr="00915E21">
        <w:trPr>
          <w:trHeight w:val="340"/>
        </w:trPr>
        <w:tc>
          <w:tcPr>
            <w:tcW w:w="4962" w:type="dxa"/>
            <w:tcBorders>
              <w:left w:val="nil"/>
              <w:bottom w:val="nil"/>
              <w:right w:val="nil"/>
            </w:tcBorders>
            <w:noWrap/>
            <w:vAlign w:val="center"/>
          </w:tcPr>
          <w:p w:rsidR="00C0313B" w:rsidRPr="00915E21" w:rsidRDefault="004C5FE0">
            <w:pPr>
              <w:pStyle w:val="Header"/>
              <w:tabs>
                <w:tab w:val="clear" w:pos="4536"/>
                <w:tab w:val="clear" w:pos="9072"/>
              </w:tabs>
              <w:rPr>
                <w:szCs w:val="22"/>
                <w:lang w:val="el-GR"/>
              </w:rPr>
            </w:pPr>
            <w:r>
              <w:rPr>
                <w:szCs w:val="22"/>
                <w:lang w:val="el-GR"/>
              </w:rPr>
              <w:t>Δεδουλευμένοι τόκοι έξοδά-έσ</w:t>
            </w:r>
            <w:r w:rsidR="00C0313B" w:rsidRPr="00915E21">
              <w:rPr>
                <w:szCs w:val="22"/>
                <w:lang w:val="el-GR"/>
              </w:rPr>
              <w:t>οδα</w:t>
            </w:r>
          </w:p>
        </w:tc>
        <w:tc>
          <w:tcPr>
            <w:tcW w:w="1454" w:type="dxa"/>
            <w:tcBorders>
              <w:left w:val="nil"/>
              <w:right w:val="nil"/>
            </w:tcBorders>
            <w:vAlign w:val="bottom"/>
          </w:tcPr>
          <w:p w:rsidR="00C0313B" w:rsidRPr="00915E21" w:rsidRDefault="00C0313B">
            <w:pPr>
              <w:jc w:val="right"/>
              <w:rPr>
                <w:szCs w:val="22"/>
                <w:lang w:val="el-GR"/>
              </w:rPr>
            </w:pPr>
            <w:r>
              <w:rPr>
                <w:szCs w:val="22"/>
                <w:lang w:val="el-GR"/>
              </w:rPr>
              <w:t>(208)</w:t>
            </w:r>
          </w:p>
        </w:tc>
        <w:tc>
          <w:tcPr>
            <w:tcW w:w="327" w:type="dxa"/>
            <w:tcBorders>
              <w:left w:val="nil"/>
              <w:right w:val="nil"/>
            </w:tcBorders>
            <w:vAlign w:val="bottom"/>
          </w:tcPr>
          <w:p w:rsidR="00C0313B" w:rsidRPr="00915E21" w:rsidRDefault="00C0313B">
            <w:pPr>
              <w:jc w:val="right"/>
              <w:rPr>
                <w:color w:val="FF0000"/>
                <w:szCs w:val="22"/>
                <w:lang w:val="el-GR"/>
              </w:rPr>
            </w:pPr>
          </w:p>
        </w:tc>
        <w:tc>
          <w:tcPr>
            <w:tcW w:w="1374" w:type="dxa"/>
            <w:tcBorders>
              <w:left w:val="nil"/>
              <w:right w:val="nil"/>
            </w:tcBorders>
            <w:noWrap/>
            <w:vAlign w:val="bottom"/>
          </w:tcPr>
          <w:p w:rsidR="00C0313B" w:rsidRPr="00C2484E" w:rsidRDefault="00FE69DE">
            <w:pPr>
              <w:jc w:val="right"/>
              <w:rPr>
                <w:szCs w:val="22"/>
                <w:lang w:val="el-GR"/>
              </w:rPr>
            </w:pPr>
            <w:r w:rsidRPr="00C2484E">
              <w:rPr>
                <w:szCs w:val="22"/>
                <w:lang w:val="el-GR"/>
              </w:rPr>
              <w:t>(44)</w:t>
            </w:r>
          </w:p>
        </w:tc>
        <w:tc>
          <w:tcPr>
            <w:tcW w:w="574" w:type="dxa"/>
            <w:tcBorders>
              <w:left w:val="nil"/>
              <w:bottom w:val="nil"/>
              <w:right w:val="nil"/>
            </w:tcBorders>
            <w:vAlign w:val="center"/>
          </w:tcPr>
          <w:p w:rsidR="00C0313B" w:rsidRPr="00915E21" w:rsidRDefault="00C0313B">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color w:val="FF0000"/>
                <w:szCs w:val="22"/>
                <w:lang w:val="el-GR"/>
              </w:rPr>
            </w:pPr>
          </w:p>
        </w:tc>
      </w:tr>
      <w:tr w:rsidR="00C0313B" w:rsidRPr="00915E21">
        <w:trPr>
          <w:trHeight w:val="340"/>
        </w:trPr>
        <w:tc>
          <w:tcPr>
            <w:tcW w:w="4962" w:type="dxa"/>
            <w:tcBorders>
              <w:top w:val="nil"/>
              <w:left w:val="nil"/>
              <w:bottom w:val="nil"/>
              <w:right w:val="nil"/>
            </w:tcBorders>
            <w:noWrap/>
            <w:vAlign w:val="center"/>
          </w:tcPr>
          <w:p w:rsidR="00C0313B" w:rsidRPr="00915E21" w:rsidRDefault="00C0313B">
            <w:pPr>
              <w:rPr>
                <w:szCs w:val="22"/>
                <w:lang w:val="el-GR"/>
              </w:rPr>
            </w:pPr>
            <w:r w:rsidRPr="00915E21">
              <w:rPr>
                <w:szCs w:val="22"/>
                <w:lang w:val="el-GR"/>
              </w:rPr>
              <w:t>Συναλλαγματικές διαφορές</w:t>
            </w:r>
          </w:p>
        </w:tc>
        <w:tc>
          <w:tcPr>
            <w:tcW w:w="1454" w:type="dxa"/>
            <w:tcBorders>
              <w:left w:val="nil"/>
              <w:right w:val="nil"/>
            </w:tcBorders>
            <w:vAlign w:val="bottom"/>
          </w:tcPr>
          <w:p w:rsidR="00C0313B" w:rsidRPr="00915E21" w:rsidRDefault="00C0313B">
            <w:pPr>
              <w:jc w:val="right"/>
              <w:rPr>
                <w:szCs w:val="22"/>
              </w:rPr>
            </w:pPr>
            <w:r w:rsidRPr="00915E21">
              <w:rPr>
                <w:szCs w:val="22"/>
              </w:rPr>
              <w:t>(</w:t>
            </w:r>
            <w:r w:rsidRPr="00915E21">
              <w:rPr>
                <w:szCs w:val="22"/>
                <w:lang w:val="el-GR"/>
              </w:rPr>
              <w:t>601</w:t>
            </w:r>
            <w:r w:rsidRPr="00915E21">
              <w:rPr>
                <w:szCs w:val="22"/>
              </w:rPr>
              <w:t>)</w:t>
            </w:r>
          </w:p>
        </w:tc>
        <w:tc>
          <w:tcPr>
            <w:tcW w:w="327" w:type="dxa"/>
            <w:tcBorders>
              <w:top w:val="nil"/>
              <w:left w:val="nil"/>
              <w:right w:val="nil"/>
            </w:tcBorders>
            <w:vAlign w:val="bottom"/>
          </w:tcPr>
          <w:p w:rsidR="00C0313B" w:rsidRPr="00915E21" w:rsidRDefault="00C0313B">
            <w:pPr>
              <w:jc w:val="right"/>
              <w:rPr>
                <w:color w:val="FF0000"/>
                <w:szCs w:val="22"/>
                <w:lang w:val="el-GR"/>
              </w:rPr>
            </w:pPr>
          </w:p>
        </w:tc>
        <w:tc>
          <w:tcPr>
            <w:tcW w:w="1374" w:type="dxa"/>
            <w:tcBorders>
              <w:top w:val="nil"/>
              <w:left w:val="nil"/>
              <w:right w:val="nil"/>
            </w:tcBorders>
            <w:noWrap/>
            <w:vAlign w:val="bottom"/>
          </w:tcPr>
          <w:p w:rsidR="00C0313B" w:rsidRPr="00C2484E" w:rsidRDefault="00C0313B">
            <w:pPr>
              <w:jc w:val="right"/>
              <w:rPr>
                <w:szCs w:val="22"/>
              </w:rPr>
            </w:pPr>
            <w:r w:rsidRPr="00C2484E">
              <w:rPr>
                <w:szCs w:val="22"/>
              </w:rPr>
              <w:t>(156)</w:t>
            </w:r>
          </w:p>
        </w:tc>
        <w:tc>
          <w:tcPr>
            <w:tcW w:w="574" w:type="dxa"/>
            <w:tcBorders>
              <w:top w:val="nil"/>
              <w:left w:val="nil"/>
              <w:right w:val="nil"/>
            </w:tcBorders>
            <w:vAlign w:val="center"/>
          </w:tcPr>
          <w:p w:rsidR="00C0313B" w:rsidRPr="00915E21" w:rsidRDefault="00C0313B">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color w:val="FF0000"/>
                <w:szCs w:val="22"/>
                <w:lang w:val="el-GR"/>
              </w:rPr>
            </w:pPr>
          </w:p>
        </w:tc>
      </w:tr>
      <w:tr w:rsidR="00C0313B" w:rsidRPr="00915E21">
        <w:trPr>
          <w:trHeight w:val="340"/>
        </w:trPr>
        <w:tc>
          <w:tcPr>
            <w:tcW w:w="4962" w:type="dxa"/>
            <w:tcBorders>
              <w:top w:val="nil"/>
              <w:left w:val="nil"/>
              <w:right w:val="nil"/>
            </w:tcBorders>
            <w:noWrap/>
            <w:vAlign w:val="center"/>
          </w:tcPr>
          <w:p w:rsidR="00C0313B" w:rsidRPr="00915E21" w:rsidRDefault="00C0313B">
            <w:pPr>
              <w:rPr>
                <w:b/>
                <w:bCs/>
                <w:szCs w:val="22"/>
                <w:lang w:val="el-GR"/>
              </w:rPr>
            </w:pPr>
            <w:r w:rsidRPr="00915E21">
              <w:rPr>
                <w:b/>
                <w:bCs/>
                <w:szCs w:val="22"/>
                <w:lang w:val="el-GR"/>
              </w:rPr>
              <w:t>Λειτουργικά κέρδη</w:t>
            </w:r>
            <w:r w:rsidR="00F9099D">
              <w:rPr>
                <w:b/>
                <w:bCs/>
                <w:szCs w:val="22"/>
                <w:lang w:val="el-GR"/>
              </w:rPr>
              <w:t xml:space="preserve"> / (ζημιές) προ </w:t>
            </w:r>
            <w:r w:rsidR="00F9099D" w:rsidRPr="00915E21">
              <w:rPr>
                <w:b/>
                <w:bCs/>
                <w:szCs w:val="22"/>
                <w:lang w:val="el-GR"/>
              </w:rPr>
              <w:t>μεταβολών</w:t>
            </w:r>
            <w:r w:rsidRPr="00915E21">
              <w:rPr>
                <w:b/>
                <w:bCs/>
                <w:szCs w:val="22"/>
                <w:lang w:val="el-GR"/>
              </w:rPr>
              <w:t xml:space="preserve"> κεφαλαίου κινήσεως</w:t>
            </w:r>
          </w:p>
        </w:tc>
        <w:tc>
          <w:tcPr>
            <w:tcW w:w="1454" w:type="dxa"/>
            <w:tcBorders>
              <w:top w:val="single" w:sz="4" w:space="0" w:color="auto"/>
              <w:left w:val="nil"/>
              <w:bottom w:val="single" w:sz="4" w:space="0" w:color="auto"/>
              <w:right w:val="nil"/>
            </w:tcBorders>
            <w:vAlign w:val="bottom"/>
          </w:tcPr>
          <w:p w:rsidR="00C0313B" w:rsidRPr="00325569" w:rsidRDefault="00F9099D">
            <w:pPr>
              <w:jc w:val="right"/>
              <w:rPr>
                <w:b/>
                <w:bCs/>
                <w:szCs w:val="22"/>
                <w:lang w:val="el-GR"/>
              </w:rPr>
            </w:pPr>
            <w:r>
              <w:rPr>
                <w:b/>
                <w:bCs/>
                <w:szCs w:val="22"/>
                <w:lang w:val="el-GR"/>
              </w:rPr>
              <w:t>(</w:t>
            </w:r>
            <w:r w:rsidR="00196384">
              <w:rPr>
                <w:b/>
                <w:bCs/>
                <w:szCs w:val="22"/>
                <w:lang w:val="el-GR"/>
              </w:rPr>
              <w:t>6.305</w:t>
            </w:r>
            <w:r>
              <w:rPr>
                <w:b/>
                <w:bCs/>
                <w:szCs w:val="22"/>
                <w:lang w:val="el-GR"/>
              </w:rPr>
              <w:t>)</w:t>
            </w:r>
          </w:p>
        </w:tc>
        <w:tc>
          <w:tcPr>
            <w:tcW w:w="327" w:type="dxa"/>
            <w:tcBorders>
              <w:top w:val="nil"/>
              <w:left w:val="nil"/>
              <w:right w:val="nil"/>
            </w:tcBorders>
            <w:vAlign w:val="bottom"/>
          </w:tcPr>
          <w:p w:rsidR="00C0313B" w:rsidRPr="00915E21" w:rsidRDefault="00C0313B">
            <w:pPr>
              <w:jc w:val="right"/>
              <w:rPr>
                <w:color w:val="FF0000"/>
                <w:szCs w:val="22"/>
                <w:lang w:val="el-GR"/>
              </w:rPr>
            </w:pPr>
          </w:p>
        </w:tc>
        <w:tc>
          <w:tcPr>
            <w:tcW w:w="1374" w:type="dxa"/>
            <w:tcBorders>
              <w:top w:val="single" w:sz="4" w:space="0" w:color="auto"/>
              <w:left w:val="nil"/>
              <w:bottom w:val="single" w:sz="4" w:space="0" w:color="auto"/>
              <w:right w:val="nil"/>
            </w:tcBorders>
            <w:noWrap/>
            <w:vAlign w:val="bottom"/>
          </w:tcPr>
          <w:p w:rsidR="00C0313B" w:rsidRPr="00C2484E" w:rsidRDefault="004D24AE">
            <w:pPr>
              <w:jc w:val="right"/>
              <w:rPr>
                <w:b/>
                <w:bCs/>
                <w:szCs w:val="22"/>
                <w:lang w:val="el-GR"/>
              </w:rPr>
            </w:pPr>
            <w:r>
              <w:rPr>
                <w:b/>
                <w:bCs/>
                <w:szCs w:val="22"/>
                <w:lang w:val="el-GR"/>
              </w:rPr>
              <w:t>(2.987</w:t>
            </w:r>
            <w:r w:rsidR="00D00FE0" w:rsidRPr="00C2484E">
              <w:rPr>
                <w:b/>
                <w:bCs/>
                <w:szCs w:val="22"/>
                <w:lang w:val="el-GR"/>
              </w:rPr>
              <w:t>)</w:t>
            </w:r>
          </w:p>
        </w:tc>
        <w:tc>
          <w:tcPr>
            <w:tcW w:w="574" w:type="dxa"/>
            <w:tcBorders>
              <w:top w:val="nil"/>
              <w:left w:val="nil"/>
              <w:right w:val="nil"/>
            </w:tcBorders>
            <w:vAlign w:val="center"/>
          </w:tcPr>
          <w:p w:rsidR="00C0313B" w:rsidRPr="00915E21" w:rsidRDefault="00C0313B">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color w:val="FF0000"/>
                <w:szCs w:val="22"/>
                <w:lang w:val="el-GR"/>
              </w:rPr>
            </w:pPr>
          </w:p>
        </w:tc>
      </w:tr>
      <w:tr w:rsidR="00C0313B" w:rsidRPr="00915E21">
        <w:trPr>
          <w:trHeight w:val="340"/>
        </w:trPr>
        <w:tc>
          <w:tcPr>
            <w:tcW w:w="4962" w:type="dxa"/>
            <w:tcBorders>
              <w:left w:val="nil"/>
              <w:bottom w:val="nil"/>
              <w:right w:val="nil"/>
            </w:tcBorders>
            <w:noWrap/>
            <w:vAlign w:val="center"/>
          </w:tcPr>
          <w:p w:rsidR="00C0313B" w:rsidRPr="00915E21" w:rsidRDefault="00C0313B">
            <w:pPr>
              <w:rPr>
                <w:color w:val="FF0000"/>
                <w:szCs w:val="22"/>
                <w:lang w:val="el-GR"/>
              </w:rPr>
            </w:pPr>
          </w:p>
        </w:tc>
        <w:tc>
          <w:tcPr>
            <w:tcW w:w="1454" w:type="dxa"/>
            <w:tcBorders>
              <w:top w:val="single" w:sz="4" w:space="0" w:color="auto"/>
              <w:left w:val="nil"/>
              <w:bottom w:val="nil"/>
              <w:right w:val="nil"/>
            </w:tcBorders>
            <w:vAlign w:val="bottom"/>
          </w:tcPr>
          <w:p w:rsidR="00C0313B" w:rsidRPr="00915E21" w:rsidRDefault="00C0313B">
            <w:pPr>
              <w:jc w:val="right"/>
              <w:rPr>
                <w:color w:val="FF0000"/>
                <w:szCs w:val="22"/>
                <w:lang w:val="el-GR"/>
              </w:rPr>
            </w:pPr>
          </w:p>
        </w:tc>
        <w:tc>
          <w:tcPr>
            <w:tcW w:w="327" w:type="dxa"/>
            <w:tcBorders>
              <w:left w:val="nil"/>
              <w:bottom w:val="nil"/>
              <w:right w:val="nil"/>
            </w:tcBorders>
            <w:vAlign w:val="bottom"/>
          </w:tcPr>
          <w:p w:rsidR="00C0313B" w:rsidRPr="00915E21" w:rsidRDefault="00C0313B">
            <w:pPr>
              <w:jc w:val="right"/>
              <w:rPr>
                <w:color w:val="FF0000"/>
                <w:szCs w:val="22"/>
                <w:lang w:val="el-GR"/>
              </w:rPr>
            </w:pPr>
          </w:p>
        </w:tc>
        <w:tc>
          <w:tcPr>
            <w:tcW w:w="1374" w:type="dxa"/>
            <w:tcBorders>
              <w:top w:val="single" w:sz="4" w:space="0" w:color="auto"/>
              <w:left w:val="nil"/>
              <w:bottom w:val="nil"/>
              <w:right w:val="nil"/>
            </w:tcBorders>
            <w:noWrap/>
            <w:vAlign w:val="bottom"/>
          </w:tcPr>
          <w:p w:rsidR="00C0313B" w:rsidRPr="00C2484E" w:rsidRDefault="00C0313B">
            <w:pPr>
              <w:jc w:val="right"/>
              <w:rPr>
                <w:color w:val="FF0000"/>
                <w:szCs w:val="22"/>
                <w:lang w:val="el-GR"/>
              </w:rPr>
            </w:pPr>
          </w:p>
        </w:tc>
        <w:tc>
          <w:tcPr>
            <w:tcW w:w="574" w:type="dxa"/>
            <w:tcBorders>
              <w:left w:val="nil"/>
              <w:bottom w:val="nil"/>
              <w:right w:val="nil"/>
            </w:tcBorders>
            <w:vAlign w:val="center"/>
          </w:tcPr>
          <w:p w:rsidR="00C0313B" w:rsidRPr="00915E21" w:rsidRDefault="00C0313B">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color w:val="FF0000"/>
                <w:szCs w:val="22"/>
                <w:lang w:val="el-GR"/>
              </w:rPr>
            </w:pPr>
          </w:p>
        </w:tc>
      </w:tr>
      <w:tr w:rsidR="00C0313B" w:rsidRPr="00915E21">
        <w:trPr>
          <w:trHeight w:val="340"/>
        </w:trPr>
        <w:tc>
          <w:tcPr>
            <w:tcW w:w="4962" w:type="dxa"/>
            <w:tcBorders>
              <w:left w:val="nil"/>
              <w:bottom w:val="nil"/>
              <w:right w:val="nil"/>
            </w:tcBorders>
            <w:noWrap/>
            <w:vAlign w:val="center"/>
          </w:tcPr>
          <w:p w:rsidR="00C0313B" w:rsidRPr="00915E21" w:rsidRDefault="00C0313B">
            <w:pPr>
              <w:rPr>
                <w:szCs w:val="22"/>
                <w:lang w:val="el-GR"/>
              </w:rPr>
            </w:pPr>
            <w:r w:rsidRPr="00915E21">
              <w:rPr>
                <w:szCs w:val="22"/>
                <w:lang w:val="el-GR"/>
              </w:rPr>
              <w:t>(Αύξηση)</w:t>
            </w:r>
            <w:r w:rsidR="00AF4391">
              <w:rPr>
                <w:szCs w:val="22"/>
                <w:lang w:val="el-GR"/>
              </w:rPr>
              <w:t xml:space="preserve"> </w:t>
            </w:r>
            <w:r w:rsidRPr="00915E21">
              <w:rPr>
                <w:szCs w:val="22"/>
                <w:lang w:val="el-GR"/>
              </w:rPr>
              <w:t>/</w:t>
            </w:r>
            <w:r w:rsidR="00AF4391">
              <w:rPr>
                <w:szCs w:val="22"/>
                <w:lang w:val="el-GR"/>
              </w:rPr>
              <w:t xml:space="preserve"> </w:t>
            </w:r>
            <w:r w:rsidRPr="00915E21">
              <w:rPr>
                <w:szCs w:val="22"/>
                <w:lang w:val="el-GR"/>
              </w:rPr>
              <w:t>Μείωση:</w:t>
            </w:r>
          </w:p>
        </w:tc>
        <w:tc>
          <w:tcPr>
            <w:tcW w:w="1454" w:type="dxa"/>
            <w:tcBorders>
              <w:left w:val="nil"/>
              <w:right w:val="nil"/>
            </w:tcBorders>
            <w:vAlign w:val="bottom"/>
          </w:tcPr>
          <w:p w:rsidR="00C0313B" w:rsidRPr="00915E21" w:rsidRDefault="00C0313B">
            <w:pPr>
              <w:jc w:val="right"/>
              <w:rPr>
                <w:szCs w:val="22"/>
                <w:lang w:val="el-GR"/>
              </w:rPr>
            </w:pPr>
          </w:p>
        </w:tc>
        <w:tc>
          <w:tcPr>
            <w:tcW w:w="327" w:type="dxa"/>
            <w:tcBorders>
              <w:left w:val="nil"/>
              <w:bottom w:val="nil"/>
              <w:right w:val="nil"/>
            </w:tcBorders>
            <w:vAlign w:val="bottom"/>
          </w:tcPr>
          <w:p w:rsidR="00C0313B" w:rsidRPr="00915E21" w:rsidRDefault="00C0313B">
            <w:pPr>
              <w:jc w:val="right"/>
              <w:rPr>
                <w:color w:val="FF0000"/>
                <w:szCs w:val="22"/>
                <w:lang w:val="el-GR"/>
              </w:rPr>
            </w:pPr>
          </w:p>
        </w:tc>
        <w:tc>
          <w:tcPr>
            <w:tcW w:w="1374" w:type="dxa"/>
            <w:tcBorders>
              <w:left w:val="nil"/>
              <w:bottom w:val="nil"/>
              <w:right w:val="nil"/>
            </w:tcBorders>
            <w:noWrap/>
            <w:vAlign w:val="bottom"/>
          </w:tcPr>
          <w:p w:rsidR="00C0313B" w:rsidRPr="00C2484E" w:rsidRDefault="00C0313B">
            <w:pPr>
              <w:jc w:val="right"/>
              <w:rPr>
                <w:szCs w:val="22"/>
                <w:lang w:val="el-GR"/>
              </w:rPr>
            </w:pPr>
          </w:p>
        </w:tc>
        <w:tc>
          <w:tcPr>
            <w:tcW w:w="574" w:type="dxa"/>
            <w:tcBorders>
              <w:left w:val="nil"/>
              <w:bottom w:val="nil"/>
              <w:right w:val="nil"/>
            </w:tcBorders>
            <w:vAlign w:val="center"/>
          </w:tcPr>
          <w:p w:rsidR="00C0313B" w:rsidRPr="00915E21" w:rsidRDefault="00C0313B">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color w:val="FF0000"/>
                <w:szCs w:val="22"/>
                <w:lang w:val="el-GR"/>
              </w:rPr>
            </w:pPr>
          </w:p>
        </w:tc>
      </w:tr>
      <w:tr w:rsidR="00C0313B" w:rsidRPr="00915E21">
        <w:trPr>
          <w:trHeight w:val="340"/>
        </w:trPr>
        <w:tc>
          <w:tcPr>
            <w:tcW w:w="4962" w:type="dxa"/>
            <w:tcBorders>
              <w:top w:val="nil"/>
              <w:left w:val="nil"/>
              <w:bottom w:val="nil"/>
              <w:right w:val="nil"/>
            </w:tcBorders>
            <w:noWrap/>
            <w:vAlign w:val="center"/>
          </w:tcPr>
          <w:p w:rsidR="00C0313B" w:rsidRPr="00915E21" w:rsidRDefault="00C0313B">
            <w:pPr>
              <w:rPr>
                <w:szCs w:val="22"/>
                <w:lang w:val="el-GR"/>
              </w:rPr>
            </w:pPr>
            <w:r w:rsidRPr="00915E21">
              <w:rPr>
                <w:szCs w:val="22"/>
                <w:lang w:val="el-GR"/>
              </w:rPr>
              <w:t>Απαιτήσεις από χρηµατοδοτικές µισθώσεις</w:t>
            </w:r>
          </w:p>
        </w:tc>
        <w:tc>
          <w:tcPr>
            <w:tcW w:w="1454" w:type="dxa"/>
            <w:tcBorders>
              <w:top w:val="nil"/>
              <w:left w:val="nil"/>
              <w:right w:val="nil"/>
            </w:tcBorders>
            <w:vAlign w:val="bottom"/>
          </w:tcPr>
          <w:p w:rsidR="00C0313B" w:rsidRPr="00915E21" w:rsidRDefault="002301B3">
            <w:pPr>
              <w:jc w:val="right"/>
              <w:rPr>
                <w:szCs w:val="22"/>
                <w:lang w:val="el-GR"/>
              </w:rPr>
            </w:pPr>
            <w:r>
              <w:rPr>
                <w:szCs w:val="22"/>
                <w:lang w:val="el-GR"/>
              </w:rPr>
              <w:t>(</w:t>
            </w:r>
            <w:r w:rsidR="00196384">
              <w:rPr>
                <w:szCs w:val="22"/>
                <w:lang w:val="el-GR"/>
              </w:rPr>
              <w:t>26</w:t>
            </w:r>
            <w:r>
              <w:rPr>
                <w:szCs w:val="22"/>
                <w:lang w:val="el-GR"/>
              </w:rPr>
              <w:t>.</w:t>
            </w:r>
            <w:r w:rsidR="00196384">
              <w:rPr>
                <w:szCs w:val="22"/>
                <w:lang w:val="el-GR"/>
              </w:rPr>
              <w:t>664</w:t>
            </w:r>
            <w:r w:rsidR="00C0313B" w:rsidRPr="00915E21">
              <w:rPr>
                <w:szCs w:val="22"/>
                <w:lang w:val="el-GR"/>
              </w:rPr>
              <w:t>)</w:t>
            </w:r>
          </w:p>
        </w:tc>
        <w:tc>
          <w:tcPr>
            <w:tcW w:w="327" w:type="dxa"/>
            <w:tcBorders>
              <w:top w:val="nil"/>
              <w:left w:val="nil"/>
              <w:right w:val="nil"/>
            </w:tcBorders>
            <w:vAlign w:val="bottom"/>
          </w:tcPr>
          <w:p w:rsidR="00C0313B" w:rsidRPr="00915E21" w:rsidRDefault="00C0313B">
            <w:pPr>
              <w:jc w:val="right"/>
              <w:rPr>
                <w:color w:val="FF0000"/>
                <w:szCs w:val="22"/>
                <w:lang w:val="el-GR"/>
              </w:rPr>
            </w:pPr>
          </w:p>
        </w:tc>
        <w:tc>
          <w:tcPr>
            <w:tcW w:w="1374" w:type="dxa"/>
            <w:tcBorders>
              <w:top w:val="nil"/>
              <w:left w:val="nil"/>
              <w:right w:val="nil"/>
            </w:tcBorders>
            <w:noWrap/>
            <w:vAlign w:val="bottom"/>
          </w:tcPr>
          <w:p w:rsidR="00C0313B" w:rsidRPr="00C2484E" w:rsidRDefault="00190962">
            <w:pPr>
              <w:jc w:val="right"/>
              <w:rPr>
                <w:szCs w:val="22"/>
                <w:lang w:val="el-GR"/>
              </w:rPr>
            </w:pPr>
            <w:r>
              <w:rPr>
                <w:szCs w:val="22"/>
                <w:lang w:val="el-GR"/>
              </w:rPr>
              <w:t>36</w:t>
            </w:r>
            <w:r w:rsidR="00A0194C" w:rsidRPr="00C2484E">
              <w:rPr>
                <w:szCs w:val="22"/>
                <w:lang w:val="el-GR"/>
              </w:rPr>
              <w:t>.</w:t>
            </w:r>
            <w:r>
              <w:rPr>
                <w:szCs w:val="22"/>
                <w:lang w:val="el-GR"/>
              </w:rPr>
              <w:t>430</w:t>
            </w:r>
          </w:p>
        </w:tc>
        <w:tc>
          <w:tcPr>
            <w:tcW w:w="574" w:type="dxa"/>
            <w:tcBorders>
              <w:top w:val="nil"/>
              <w:left w:val="nil"/>
              <w:bottom w:val="nil"/>
              <w:right w:val="nil"/>
            </w:tcBorders>
            <w:vAlign w:val="center"/>
          </w:tcPr>
          <w:p w:rsidR="00C0313B" w:rsidRPr="00915E21" w:rsidRDefault="00C0313B">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color w:val="FF0000"/>
                <w:szCs w:val="22"/>
                <w:lang w:val="el-GR"/>
              </w:rPr>
            </w:pPr>
          </w:p>
        </w:tc>
      </w:tr>
      <w:tr w:rsidR="00C0313B" w:rsidRPr="00915E21">
        <w:trPr>
          <w:trHeight w:val="340"/>
        </w:trPr>
        <w:tc>
          <w:tcPr>
            <w:tcW w:w="4962" w:type="dxa"/>
            <w:tcBorders>
              <w:top w:val="nil"/>
              <w:left w:val="nil"/>
              <w:right w:val="nil"/>
            </w:tcBorders>
            <w:noWrap/>
            <w:vAlign w:val="center"/>
          </w:tcPr>
          <w:p w:rsidR="00C0313B" w:rsidRPr="00915E21" w:rsidRDefault="002301B3">
            <w:pPr>
              <w:rPr>
                <w:szCs w:val="22"/>
                <w:lang w:val="el-GR"/>
              </w:rPr>
            </w:pPr>
            <w:r>
              <w:rPr>
                <w:szCs w:val="22"/>
                <w:lang w:val="el-GR"/>
              </w:rPr>
              <w:t xml:space="preserve">Λοιπές </w:t>
            </w:r>
            <w:r w:rsidR="00C0313B" w:rsidRPr="00915E21">
              <w:rPr>
                <w:szCs w:val="22"/>
                <w:lang w:val="el-GR"/>
              </w:rPr>
              <w:t>απαιτήσεις</w:t>
            </w:r>
          </w:p>
        </w:tc>
        <w:tc>
          <w:tcPr>
            <w:tcW w:w="1454" w:type="dxa"/>
            <w:tcBorders>
              <w:left w:val="nil"/>
              <w:right w:val="nil"/>
            </w:tcBorders>
            <w:vAlign w:val="bottom"/>
          </w:tcPr>
          <w:p w:rsidR="00C0313B" w:rsidRPr="00915E21" w:rsidRDefault="00C0313B">
            <w:pPr>
              <w:jc w:val="right"/>
              <w:rPr>
                <w:szCs w:val="22"/>
              </w:rPr>
            </w:pPr>
            <w:r w:rsidRPr="00915E21">
              <w:rPr>
                <w:szCs w:val="22"/>
              </w:rPr>
              <w:t>(</w:t>
            </w:r>
            <w:r w:rsidR="00064587">
              <w:rPr>
                <w:szCs w:val="22"/>
                <w:lang w:val="el-GR"/>
              </w:rPr>
              <w:t>10.582</w:t>
            </w:r>
            <w:r w:rsidRPr="00915E21">
              <w:rPr>
                <w:szCs w:val="22"/>
              </w:rPr>
              <w:t>)</w:t>
            </w:r>
          </w:p>
        </w:tc>
        <w:tc>
          <w:tcPr>
            <w:tcW w:w="327" w:type="dxa"/>
            <w:tcBorders>
              <w:left w:val="nil"/>
              <w:right w:val="nil"/>
            </w:tcBorders>
            <w:vAlign w:val="bottom"/>
          </w:tcPr>
          <w:p w:rsidR="00C0313B" w:rsidRPr="00915E21" w:rsidRDefault="00C0313B">
            <w:pPr>
              <w:jc w:val="right"/>
              <w:rPr>
                <w:color w:val="FF0000"/>
                <w:szCs w:val="22"/>
                <w:lang w:val="el-GR"/>
              </w:rPr>
            </w:pPr>
          </w:p>
        </w:tc>
        <w:tc>
          <w:tcPr>
            <w:tcW w:w="1374" w:type="dxa"/>
            <w:tcBorders>
              <w:left w:val="nil"/>
              <w:right w:val="nil"/>
            </w:tcBorders>
            <w:noWrap/>
            <w:vAlign w:val="bottom"/>
          </w:tcPr>
          <w:p w:rsidR="00C0313B" w:rsidRPr="00C2484E" w:rsidRDefault="00E93362">
            <w:pPr>
              <w:jc w:val="right"/>
              <w:rPr>
                <w:szCs w:val="22"/>
                <w:lang w:val="el-GR"/>
              </w:rPr>
            </w:pPr>
            <w:r w:rsidRPr="00C2484E">
              <w:rPr>
                <w:szCs w:val="22"/>
                <w:lang w:val="el-GR"/>
              </w:rPr>
              <w:t>1.022</w:t>
            </w:r>
          </w:p>
        </w:tc>
        <w:tc>
          <w:tcPr>
            <w:tcW w:w="574" w:type="dxa"/>
            <w:tcBorders>
              <w:top w:val="nil"/>
              <w:left w:val="nil"/>
              <w:right w:val="nil"/>
            </w:tcBorders>
            <w:vAlign w:val="center"/>
          </w:tcPr>
          <w:p w:rsidR="00C0313B" w:rsidRPr="00915E21" w:rsidRDefault="00C0313B">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color w:val="FF0000"/>
                <w:szCs w:val="22"/>
                <w:lang w:val="el-GR"/>
              </w:rPr>
            </w:pPr>
          </w:p>
        </w:tc>
      </w:tr>
      <w:tr w:rsidR="00AF4391" w:rsidRPr="00915E21">
        <w:trPr>
          <w:trHeight w:hRule="exact" w:val="340"/>
        </w:trPr>
        <w:tc>
          <w:tcPr>
            <w:tcW w:w="4962" w:type="dxa"/>
            <w:tcBorders>
              <w:top w:val="nil"/>
              <w:left w:val="nil"/>
              <w:right w:val="nil"/>
            </w:tcBorders>
            <w:noWrap/>
            <w:vAlign w:val="center"/>
          </w:tcPr>
          <w:p w:rsidR="00AF4391" w:rsidRPr="00915E21" w:rsidRDefault="00AF4391" w:rsidP="00816D0D">
            <w:pPr>
              <w:rPr>
                <w:szCs w:val="22"/>
                <w:lang w:val="el-GR"/>
              </w:rPr>
            </w:pPr>
            <w:r>
              <w:rPr>
                <w:szCs w:val="22"/>
                <w:lang w:val="el-GR"/>
              </w:rPr>
              <w:t xml:space="preserve">Αύξηση </w:t>
            </w:r>
            <w:r w:rsidRPr="00915E21">
              <w:rPr>
                <w:szCs w:val="22"/>
                <w:lang w:val="el-GR"/>
              </w:rPr>
              <w:t>/</w:t>
            </w:r>
            <w:r>
              <w:rPr>
                <w:szCs w:val="22"/>
                <w:lang w:val="el-GR"/>
              </w:rPr>
              <w:t xml:space="preserve"> (</w:t>
            </w:r>
            <w:r w:rsidRPr="00915E21">
              <w:rPr>
                <w:szCs w:val="22"/>
                <w:lang w:val="el-GR"/>
              </w:rPr>
              <w:t>Μείωση</w:t>
            </w:r>
            <w:r>
              <w:rPr>
                <w:szCs w:val="22"/>
                <w:lang w:val="el-GR"/>
              </w:rPr>
              <w:t>)</w:t>
            </w:r>
            <w:r w:rsidRPr="00915E21">
              <w:rPr>
                <w:szCs w:val="22"/>
                <w:lang w:val="el-GR"/>
              </w:rPr>
              <w:t>:</w:t>
            </w:r>
          </w:p>
        </w:tc>
        <w:tc>
          <w:tcPr>
            <w:tcW w:w="1454" w:type="dxa"/>
            <w:tcBorders>
              <w:top w:val="nil"/>
              <w:left w:val="nil"/>
              <w:right w:val="nil"/>
            </w:tcBorders>
            <w:vAlign w:val="bottom"/>
          </w:tcPr>
          <w:p w:rsidR="00AF4391" w:rsidRPr="00915E21" w:rsidRDefault="00AF4391">
            <w:pPr>
              <w:jc w:val="right"/>
              <w:rPr>
                <w:szCs w:val="22"/>
                <w:lang w:val="el-GR"/>
              </w:rPr>
            </w:pPr>
          </w:p>
        </w:tc>
        <w:tc>
          <w:tcPr>
            <w:tcW w:w="327" w:type="dxa"/>
            <w:tcBorders>
              <w:top w:val="nil"/>
              <w:left w:val="nil"/>
              <w:right w:val="nil"/>
            </w:tcBorders>
            <w:vAlign w:val="bottom"/>
          </w:tcPr>
          <w:p w:rsidR="00AF4391" w:rsidRPr="00915E21" w:rsidRDefault="00AF4391">
            <w:pPr>
              <w:jc w:val="right"/>
              <w:rPr>
                <w:color w:val="FF0000"/>
                <w:szCs w:val="22"/>
                <w:lang w:val="el-GR"/>
              </w:rPr>
            </w:pPr>
          </w:p>
        </w:tc>
        <w:tc>
          <w:tcPr>
            <w:tcW w:w="1374" w:type="dxa"/>
            <w:tcBorders>
              <w:top w:val="nil"/>
              <w:left w:val="nil"/>
              <w:right w:val="nil"/>
            </w:tcBorders>
            <w:noWrap/>
            <w:vAlign w:val="bottom"/>
          </w:tcPr>
          <w:p w:rsidR="00AF4391" w:rsidRPr="00C2484E" w:rsidRDefault="00AF4391">
            <w:pPr>
              <w:jc w:val="right"/>
              <w:rPr>
                <w:szCs w:val="22"/>
              </w:rPr>
            </w:pPr>
          </w:p>
        </w:tc>
        <w:tc>
          <w:tcPr>
            <w:tcW w:w="574" w:type="dxa"/>
            <w:tcBorders>
              <w:top w:val="nil"/>
              <w:left w:val="nil"/>
              <w:right w:val="nil"/>
            </w:tcBorders>
            <w:vAlign w:val="center"/>
          </w:tcPr>
          <w:p w:rsidR="00AF4391" w:rsidRPr="00915E21" w:rsidRDefault="00AF4391">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color w:val="FF0000"/>
                <w:szCs w:val="22"/>
                <w:lang w:val="el-GR"/>
              </w:rPr>
            </w:pPr>
          </w:p>
        </w:tc>
      </w:tr>
      <w:tr w:rsidR="00AF4391" w:rsidRPr="00915E21">
        <w:trPr>
          <w:trHeight w:hRule="exact" w:val="340"/>
        </w:trPr>
        <w:tc>
          <w:tcPr>
            <w:tcW w:w="4962" w:type="dxa"/>
            <w:tcBorders>
              <w:top w:val="nil"/>
              <w:left w:val="nil"/>
              <w:right w:val="nil"/>
            </w:tcBorders>
            <w:noWrap/>
            <w:vAlign w:val="center"/>
          </w:tcPr>
          <w:p w:rsidR="00AF4391" w:rsidRPr="00915E21" w:rsidRDefault="002301B3">
            <w:pPr>
              <w:rPr>
                <w:szCs w:val="22"/>
                <w:lang w:val="el-GR"/>
              </w:rPr>
            </w:pPr>
            <w:r>
              <w:rPr>
                <w:szCs w:val="22"/>
                <w:lang w:val="el-GR"/>
              </w:rPr>
              <w:t>Λ</w:t>
            </w:r>
            <w:r w:rsidR="00AF4391" w:rsidRPr="00915E21">
              <w:rPr>
                <w:szCs w:val="22"/>
                <w:lang w:val="el-GR"/>
              </w:rPr>
              <w:t>οιπές υποχρεώσεις</w:t>
            </w:r>
          </w:p>
        </w:tc>
        <w:tc>
          <w:tcPr>
            <w:tcW w:w="1454" w:type="dxa"/>
            <w:tcBorders>
              <w:top w:val="nil"/>
              <w:left w:val="nil"/>
              <w:right w:val="nil"/>
            </w:tcBorders>
            <w:vAlign w:val="bottom"/>
          </w:tcPr>
          <w:p w:rsidR="00AF4391" w:rsidRPr="00915E21" w:rsidRDefault="00304414">
            <w:pPr>
              <w:jc w:val="right"/>
              <w:rPr>
                <w:szCs w:val="22"/>
                <w:lang w:val="el-GR"/>
              </w:rPr>
            </w:pPr>
            <w:r>
              <w:rPr>
                <w:szCs w:val="22"/>
                <w:lang w:val="el-GR"/>
              </w:rPr>
              <w:t>7.661</w:t>
            </w:r>
          </w:p>
        </w:tc>
        <w:tc>
          <w:tcPr>
            <w:tcW w:w="327" w:type="dxa"/>
            <w:tcBorders>
              <w:top w:val="nil"/>
              <w:left w:val="nil"/>
              <w:right w:val="nil"/>
            </w:tcBorders>
            <w:vAlign w:val="bottom"/>
          </w:tcPr>
          <w:p w:rsidR="00AF4391" w:rsidRPr="00915E21" w:rsidRDefault="00AF4391">
            <w:pPr>
              <w:jc w:val="right"/>
              <w:rPr>
                <w:color w:val="FF0000"/>
                <w:szCs w:val="22"/>
                <w:lang w:val="el-GR"/>
              </w:rPr>
            </w:pPr>
          </w:p>
        </w:tc>
        <w:tc>
          <w:tcPr>
            <w:tcW w:w="1374" w:type="dxa"/>
            <w:tcBorders>
              <w:top w:val="nil"/>
              <w:left w:val="nil"/>
              <w:right w:val="nil"/>
            </w:tcBorders>
            <w:noWrap/>
            <w:vAlign w:val="bottom"/>
          </w:tcPr>
          <w:p w:rsidR="00AF4391" w:rsidRPr="00C2484E" w:rsidRDefault="00AF4391">
            <w:pPr>
              <w:jc w:val="right"/>
              <w:rPr>
                <w:szCs w:val="22"/>
                <w:lang w:val="el-GR"/>
              </w:rPr>
            </w:pPr>
            <w:r w:rsidRPr="00C2484E">
              <w:rPr>
                <w:szCs w:val="22"/>
                <w:lang w:val="el-GR"/>
              </w:rPr>
              <w:t>295</w:t>
            </w:r>
          </w:p>
        </w:tc>
        <w:tc>
          <w:tcPr>
            <w:tcW w:w="574" w:type="dxa"/>
            <w:tcBorders>
              <w:top w:val="nil"/>
              <w:left w:val="nil"/>
              <w:right w:val="nil"/>
            </w:tcBorders>
            <w:vAlign w:val="center"/>
          </w:tcPr>
          <w:p w:rsidR="00AF4391" w:rsidRPr="00915E21" w:rsidRDefault="00AF4391">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color w:val="FF0000"/>
                <w:szCs w:val="22"/>
                <w:lang w:val="el-GR"/>
              </w:rPr>
            </w:pPr>
          </w:p>
        </w:tc>
      </w:tr>
      <w:tr w:rsidR="00AF4391" w:rsidRPr="00915E21">
        <w:trPr>
          <w:trHeight w:val="340"/>
        </w:trPr>
        <w:tc>
          <w:tcPr>
            <w:tcW w:w="4962" w:type="dxa"/>
            <w:tcBorders>
              <w:left w:val="nil"/>
              <w:right w:val="nil"/>
            </w:tcBorders>
            <w:noWrap/>
            <w:vAlign w:val="center"/>
          </w:tcPr>
          <w:p w:rsidR="00AF4391" w:rsidRPr="00915E21" w:rsidRDefault="00AF4391">
            <w:pPr>
              <w:rPr>
                <w:b/>
                <w:bCs/>
                <w:szCs w:val="22"/>
                <w:lang w:val="el-GR"/>
              </w:rPr>
            </w:pPr>
            <w:r w:rsidRPr="00915E21">
              <w:rPr>
                <w:b/>
                <w:bCs/>
                <w:szCs w:val="22"/>
                <w:lang w:val="el-GR"/>
              </w:rPr>
              <w:t>Καθαρή ταμειακή ροή από λειτουργικές δραστηριότητες</w:t>
            </w:r>
          </w:p>
        </w:tc>
        <w:tc>
          <w:tcPr>
            <w:tcW w:w="1454" w:type="dxa"/>
            <w:tcBorders>
              <w:top w:val="single" w:sz="4" w:space="0" w:color="auto"/>
              <w:left w:val="nil"/>
              <w:bottom w:val="single" w:sz="4" w:space="0" w:color="auto"/>
              <w:right w:val="nil"/>
            </w:tcBorders>
            <w:vAlign w:val="bottom"/>
          </w:tcPr>
          <w:p w:rsidR="00AF4391" w:rsidRPr="00915E21" w:rsidRDefault="000F0F03">
            <w:pPr>
              <w:jc w:val="right"/>
              <w:rPr>
                <w:b/>
                <w:bCs/>
                <w:szCs w:val="22"/>
                <w:lang w:val="el-GR"/>
              </w:rPr>
            </w:pPr>
            <w:r>
              <w:rPr>
                <w:b/>
                <w:bCs/>
                <w:szCs w:val="22"/>
                <w:lang w:val="el-GR"/>
              </w:rPr>
              <w:t>(35.</w:t>
            </w:r>
            <w:r w:rsidR="00B003A7">
              <w:rPr>
                <w:b/>
                <w:bCs/>
                <w:szCs w:val="22"/>
                <w:lang w:val="el-GR"/>
              </w:rPr>
              <w:t>890</w:t>
            </w:r>
            <w:r w:rsidR="00AF4391" w:rsidRPr="00915E21">
              <w:rPr>
                <w:b/>
                <w:bCs/>
                <w:szCs w:val="22"/>
                <w:lang w:val="el-GR"/>
              </w:rPr>
              <w:t>)</w:t>
            </w:r>
          </w:p>
        </w:tc>
        <w:tc>
          <w:tcPr>
            <w:tcW w:w="327" w:type="dxa"/>
            <w:tcBorders>
              <w:left w:val="nil"/>
              <w:right w:val="nil"/>
            </w:tcBorders>
            <w:vAlign w:val="bottom"/>
          </w:tcPr>
          <w:p w:rsidR="00AF4391" w:rsidRPr="00915E21" w:rsidRDefault="00AF4391">
            <w:pPr>
              <w:jc w:val="right"/>
              <w:rPr>
                <w:color w:val="FF0000"/>
                <w:szCs w:val="22"/>
                <w:lang w:val="el-GR"/>
              </w:rPr>
            </w:pPr>
          </w:p>
        </w:tc>
        <w:tc>
          <w:tcPr>
            <w:tcW w:w="1374" w:type="dxa"/>
            <w:tcBorders>
              <w:top w:val="single" w:sz="4" w:space="0" w:color="auto"/>
              <w:left w:val="nil"/>
              <w:bottom w:val="single" w:sz="4" w:space="0" w:color="auto"/>
              <w:right w:val="nil"/>
            </w:tcBorders>
            <w:noWrap/>
            <w:vAlign w:val="bottom"/>
          </w:tcPr>
          <w:p w:rsidR="00AF4391" w:rsidRPr="00C2484E" w:rsidRDefault="004C5E8A">
            <w:pPr>
              <w:jc w:val="right"/>
              <w:rPr>
                <w:b/>
                <w:bCs/>
                <w:szCs w:val="22"/>
                <w:lang w:val="el-GR"/>
              </w:rPr>
            </w:pPr>
            <w:r w:rsidRPr="00C2484E">
              <w:rPr>
                <w:b/>
                <w:bCs/>
                <w:szCs w:val="22"/>
                <w:lang w:val="el-GR"/>
              </w:rPr>
              <w:t>34</w:t>
            </w:r>
            <w:r w:rsidR="00AF4391" w:rsidRPr="00C2484E">
              <w:rPr>
                <w:b/>
                <w:bCs/>
                <w:szCs w:val="22"/>
              </w:rPr>
              <w:t>.</w:t>
            </w:r>
            <w:r w:rsidRPr="00C2484E">
              <w:rPr>
                <w:b/>
                <w:bCs/>
                <w:szCs w:val="22"/>
                <w:lang w:val="el-GR"/>
              </w:rPr>
              <w:t>760</w:t>
            </w:r>
          </w:p>
        </w:tc>
        <w:tc>
          <w:tcPr>
            <w:tcW w:w="574" w:type="dxa"/>
            <w:tcBorders>
              <w:left w:val="nil"/>
              <w:right w:val="nil"/>
            </w:tcBorders>
            <w:vAlign w:val="center"/>
          </w:tcPr>
          <w:p w:rsidR="00AF4391" w:rsidRPr="00915E21" w:rsidRDefault="00AF4391">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color w:val="FF0000"/>
                <w:szCs w:val="22"/>
                <w:lang w:val="el-GR"/>
              </w:rPr>
            </w:pPr>
          </w:p>
        </w:tc>
      </w:tr>
      <w:tr w:rsidR="00AF4391" w:rsidRPr="00915E21">
        <w:trPr>
          <w:trHeight w:val="340"/>
        </w:trPr>
        <w:tc>
          <w:tcPr>
            <w:tcW w:w="4962" w:type="dxa"/>
            <w:tcBorders>
              <w:left w:val="nil"/>
              <w:bottom w:val="nil"/>
              <w:right w:val="nil"/>
            </w:tcBorders>
            <w:noWrap/>
            <w:vAlign w:val="center"/>
          </w:tcPr>
          <w:p w:rsidR="00AF4391" w:rsidRPr="00915E21" w:rsidRDefault="00AF4391">
            <w:pPr>
              <w:rPr>
                <w:color w:val="FF0000"/>
                <w:szCs w:val="22"/>
                <w:lang w:val="el-GR"/>
              </w:rPr>
            </w:pPr>
          </w:p>
        </w:tc>
        <w:tc>
          <w:tcPr>
            <w:tcW w:w="1454" w:type="dxa"/>
            <w:tcBorders>
              <w:top w:val="single" w:sz="4" w:space="0" w:color="auto"/>
              <w:left w:val="nil"/>
              <w:bottom w:val="nil"/>
              <w:right w:val="nil"/>
            </w:tcBorders>
            <w:vAlign w:val="bottom"/>
          </w:tcPr>
          <w:p w:rsidR="00AF4391" w:rsidRPr="00915E21" w:rsidRDefault="00AF4391">
            <w:pPr>
              <w:jc w:val="right"/>
              <w:rPr>
                <w:color w:val="FF0000"/>
                <w:szCs w:val="22"/>
                <w:lang w:val="el-GR"/>
              </w:rPr>
            </w:pPr>
          </w:p>
        </w:tc>
        <w:tc>
          <w:tcPr>
            <w:tcW w:w="327" w:type="dxa"/>
            <w:tcBorders>
              <w:left w:val="nil"/>
              <w:bottom w:val="nil"/>
              <w:right w:val="nil"/>
            </w:tcBorders>
            <w:vAlign w:val="bottom"/>
          </w:tcPr>
          <w:p w:rsidR="00AF4391" w:rsidRPr="00915E21" w:rsidRDefault="00AF4391">
            <w:pPr>
              <w:jc w:val="right"/>
              <w:rPr>
                <w:color w:val="FF0000"/>
                <w:szCs w:val="22"/>
                <w:lang w:val="el-GR"/>
              </w:rPr>
            </w:pPr>
          </w:p>
        </w:tc>
        <w:tc>
          <w:tcPr>
            <w:tcW w:w="1374" w:type="dxa"/>
            <w:tcBorders>
              <w:top w:val="single" w:sz="4" w:space="0" w:color="auto"/>
              <w:left w:val="nil"/>
              <w:bottom w:val="nil"/>
              <w:right w:val="nil"/>
            </w:tcBorders>
            <w:noWrap/>
            <w:vAlign w:val="bottom"/>
          </w:tcPr>
          <w:p w:rsidR="00AF4391" w:rsidRPr="00C2484E" w:rsidRDefault="00AF4391">
            <w:pPr>
              <w:jc w:val="right"/>
              <w:rPr>
                <w:color w:val="FF0000"/>
                <w:szCs w:val="22"/>
                <w:lang w:val="el-GR"/>
              </w:rPr>
            </w:pPr>
          </w:p>
        </w:tc>
        <w:tc>
          <w:tcPr>
            <w:tcW w:w="574" w:type="dxa"/>
            <w:tcBorders>
              <w:left w:val="nil"/>
              <w:bottom w:val="nil"/>
              <w:right w:val="nil"/>
            </w:tcBorders>
            <w:vAlign w:val="center"/>
          </w:tcPr>
          <w:p w:rsidR="00AF4391" w:rsidRPr="00915E21" w:rsidRDefault="00AF4391">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color w:val="FF0000"/>
                <w:szCs w:val="22"/>
                <w:lang w:val="el-GR"/>
              </w:rPr>
            </w:pPr>
          </w:p>
        </w:tc>
      </w:tr>
      <w:tr w:rsidR="00AF4391" w:rsidRPr="00BD73D4">
        <w:trPr>
          <w:trHeight w:val="340"/>
        </w:trPr>
        <w:tc>
          <w:tcPr>
            <w:tcW w:w="4962" w:type="dxa"/>
            <w:tcBorders>
              <w:left w:val="nil"/>
              <w:bottom w:val="nil"/>
              <w:right w:val="nil"/>
            </w:tcBorders>
            <w:noWrap/>
            <w:vAlign w:val="center"/>
          </w:tcPr>
          <w:p w:rsidR="00AF4391" w:rsidRPr="00915E21" w:rsidRDefault="00AF4391">
            <w:pPr>
              <w:rPr>
                <w:b/>
                <w:bCs/>
                <w:szCs w:val="22"/>
                <w:lang w:val="el-GR"/>
              </w:rPr>
            </w:pPr>
            <w:r w:rsidRPr="00915E21">
              <w:rPr>
                <w:b/>
                <w:bCs/>
                <w:szCs w:val="22"/>
                <w:lang w:val="el-GR"/>
              </w:rPr>
              <w:t>Ταμειακές ροές από επενδυτικές δραστηριότητες</w:t>
            </w:r>
          </w:p>
        </w:tc>
        <w:tc>
          <w:tcPr>
            <w:tcW w:w="1454" w:type="dxa"/>
            <w:tcBorders>
              <w:left w:val="nil"/>
              <w:right w:val="nil"/>
            </w:tcBorders>
            <w:vAlign w:val="bottom"/>
          </w:tcPr>
          <w:p w:rsidR="00AF4391" w:rsidRPr="00915E21" w:rsidRDefault="00AF4391">
            <w:pPr>
              <w:jc w:val="right"/>
              <w:rPr>
                <w:szCs w:val="22"/>
                <w:lang w:val="el-GR"/>
              </w:rPr>
            </w:pPr>
          </w:p>
        </w:tc>
        <w:tc>
          <w:tcPr>
            <w:tcW w:w="327" w:type="dxa"/>
            <w:tcBorders>
              <w:left w:val="nil"/>
              <w:right w:val="nil"/>
            </w:tcBorders>
            <w:vAlign w:val="bottom"/>
          </w:tcPr>
          <w:p w:rsidR="00AF4391" w:rsidRPr="00915E21" w:rsidRDefault="00AF4391">
            <w:pPr>
              <w:jc w:val="right"/>
              <w:rPr>
                <w:color w:val="FF0000"/>
                <w:szCs w:val="22"/>
                <w:lang w:val="el-GR"/>
              </w:rPr>
            </w:pPr>
          </w:p>
        </w:tc>
        <w:tc>
          <w:tcPr>
            <w:tcW w:w="1374" w:type="dxa"/>
            <w:tcBorders>
              <w:left w:val="nil"/>
              <w:right w:val="nil"/>
            </w:tcBorders>
            <w:noWrap/>
            <w:vAlign w:val="bottom"/>
          </w:tcPr>
          <w:p w:rsidR="00AF4391" w:rsidRPr="00C2484E" w:rsidRDefault="00AF4391">
            <w:pPr>
              <w:jc w:val="right"/>
              <w:rPr>
                <w:szCs w:val="22"/>
                <w:lang w:val="el-GR"/>
              </w:rPr>
            </w:pPr>
          </w:p>
        </w:tc>
        <w:tc>
          <w:tcPr>
            <w:tcW w:w="574" w:type="dxa"/>
            <w:tcBorders>
              <w:left w:val="nil"/>
              <w:bottom w:val="nil"/>
              <w:right w:val="nil"/>
            </w:tcBorders>
            <w:vAlign w:val="center"/>
          </w:tcPr>
          <w:p w:rsidR="00AF4391" w:rsidRPr="00915E21" w:rsidRDefault="00AF4391">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color w:val="FF0000"/>
                <w:szCs w:val="22"/>
                <w:lang w:val="el-GR"/>
              </w:rPr>
            </w:pPr>
          </w:p>
        </w:tc>
      </w:tr>
      <w:tr w:rsidR="00AF4391" w:rsidRPr="00915E21">
        <w:trPr>
          <w:trHeight w:val="340"/>
        </w:trPr>
        <w:tc>
          <w:tcPr>
            <w:tcW w:w="4962" w:type="dxa"/>
            <w:tcBorders>
              <w:left w:val="nil"/>
              <w:bottom w:val="nil"/>
              <w:right w:val="nil"/>
            </w:tcBorders>
            <w:noWrap/>
            <w:vAlign w:val="center"/>
          </w:tcPr>
          <w:p w:rsidR="00AF4391" w:rsidRPr="00915E21" w:rsidRDefault="00AF4391">
            <w:pPr>
              <w:rPr>
                <w:szCs w:val="22"/>
                <w:lang w:val="el-GR"/>
              </w:rPr>
            </w:pPr>
            <w:r w:rsidRPr="00915E21">
              <w:rPr>
                <w:szCs w:val="22"/>
                <w:lang w:val="el-GR"/>
              </w:rPr>
              <w:t>Αγορά ενσώµατων ακινητοποιήσεων</w:t>
            </w:r>
          </w:p>
        </w:tc>
        <w:tc>
          <w:tcPr>
            <w:tcW w:w="1454" w:type="dxa"/>
            <w:tcBorders>
              <w:left w:val="nil"/>
              <w:right w:val="nil"/>
            </w:tcBorders>
            <w:vAlign w:val="bottom"/>
          </w:tcPr>
          <w:p w:rsidR="00AF4391" w:rsidRPr="00915E21" w:rsidRDefault="00AF4391" w:rsidP="00D66EC4">
            <w:pPr>
              <w:ind w:right="-71"/>
              <w:rPr>
                <w:szCs w:val="22"/>
                <w:lang w:val="el-GR"/>
              </w:rPr>
            </w:pPr>
            <w:r w:rsidRPr="00915E21">
              <w:rPr>
                <w:szCs w:val="22"/>
                <w:lang w:val="el-GR"/>
              </w:rPr>
              <w:t xml:space="preserve">                   (</w:t>
            </w:r>
            <w:r w:rsidRPr="00915E21">
              <w:rPr>
                <w:szCs w:val="22"/>
              </w:rPr>
              <w:t>2</w:t>
            </w:r>
            <w:r w:rsidRPr="00915E21">
              <w:rPr>
                <w:szCs w:val="22"/>
                <w:lang w:val="el-GR"/>
              </w:rPr>
              <w:t>)</w:t>
            </w:r>
          </w:p>
        </w:tc>
        <w:tc>
          <w:tcPr>
            <w:tcW w:w="327" w:type="dxa"/>
            <w:tcBorders>
              <w:left w:val="nil"/>
              <w:right w:val="nil"/>
            </w:tcBorders>
            <w:vAlign w:val="bottom"/>
          </w:tcPr>
          <w:p w:rsidR="00AF4391" w:rsidRPr="00915E21" w:rsidRDefault="00AF4391">
            <w:pPr>
              <w:jc w:val="right"/>
              <w:rPr>
                <w:color w:val="FF0000"/>
                <w:szCs w:val="22"/>
                <w:lang w:val="el-GR"/>
              </w:rPr>
            </w:pPr>
          </w:p>
        </w:tc>
        <w:tc>
          <w:tcPr>
            <w:tcW w:w="1374" w:type="dxa"/>
            <w:tcBorders>
              <w:left w:val="nil"/>
              <w:right w:val="nil"/>
            </w:tcBorders>
            <w:noWrap/>
            <w:vAlign w:val="bottom"/>
          </w:tcPr>
          <w:p w:rsidR="00AF4391" w:rsidRPr="00C2484E" w:rsidRDefault="00AF4391">
            <w:pPr>
              <w:jc w:val="right"/>
              <w:rPr>
                <w:szCs w:val="22"/>
                <w:lang w:val="el-GR"/>
              </w:rPr>
            </w:pPr>
            <w:r w:rsidRPr="00C2484E">
              <w:rPr>
                <w:szCs w:val="22"/>
                <w:lang w:val="el-GR"/>
              </w:rPr>
              <w:t>(</w:t>
            </w:r>
            <w:r w:rsidRPr="00C2484E">
              <w:rPr>
                <w:szCs w:val="22"/>
              </w:rPr>
              <w:t>44</w:t>
            </w:r>
            <w:r w:rsidRPr="00C2484E">
              <w:rPr>
                <w:szCs w:val="22"/>
                <w:lang w:val="el-GR"/>
              </w:rPr>
              <w:t>)</w:t>
            </w:r>
          </w:p>
        </w:tc>
        <w:tc>
          <w:tcPr>
            <w:tcW w:w="574" w:type="dxa"/>
            <w:tcBorders>
              <w:left w:val="nil"/>
              <w:bottom w:val="nil"/>
              <w:right w:val="nil"/>
            </w:tcBorders>
            <w:vAlign w:val="center"/>
          </w:tcPr>
          <w:p w:rsidR="00AF4391" w:rsidRPr="00915E21" w:rsidRDefault="00AF4391">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color w:val="FF0000"/>
                <w:szCs w:val="22"/>
                <w:lang w:val="el-GR"/>
              </w:rPr>
            </w:pPr>
          </w:p>
        </w:tc>
      </w:tr>
      <w:tr w:rsidR="00AF4391" w:rsidRPr="00915E21">
        <w:trPr>
          <w:trHeight w:val="340"/>
        </w:trPr>
        <w:tc>
          <w:tcPr>
            <w:tcW w:w="4962" w:type="dxa"/>
            <w:tcBorders>
              <w:left w:val="nil"/>
              <w:right w:val="nil"/>
            </w:tcBorders>
            <w:noWrap/>
            <w:vAlign w:val="center"/>
          </w:tcPr>
          <w:p w:rsidR="00AF4391" w:rsidRPr="00915E21" w:rsidRDefault="00AF4391" w:rsidP="00AD0BAF">
            <w:pPr>
              <w:tabs>
                <w:tab w:val="clear" w:pos="5613"/>
                <w:tab w:val="left" w:pos="5846"/>
              </w:tabs>
              <w:ind w:right="-286"/>
              <w:rPr>
                <w:b/>
                <w:bCs/>
                <w:szCs w:val="22"/>
                <w:lang w:val="el-GR"/>
              </w:rPr>
            </w:pPr>
          </w:p>
          <w:p w:rsidR="00AF4391" w:rsidRPr="00915E21" w:rsidRDefault="00AF4391" w:rsidP="00AD0BAF">
            <w:pPr>
              <w:tabs>
                <w:tab w:val="clear" w:pos="5613"/>
                <w:tab w:val="left" w:pos="5846"/>
              </w:tabs>
              <w:ind w:right="-286"/>
              <w:rPr>
                <w:b/>
                <w:bCs/>
                <w:szCs w:val="22"/>
                <w:lang w:val="el-GR"/>
              </w:rPr>
            </w:pPr>
            <w:r w:rsidRPr="00915E21">
              <w:rPr>
                <w:b/>
                <w:bCs/>
                <w:szCs w:val="22"/>
                <w:lang w:val="el-GR"/>
              </w:rPr>
              <w:t>Καθαρή ταμειακή ροή από επενδυτικές δραστηριότητες</w:t>
            </w:r>
          </w:p>
        </w:tc>
        <w:tc>
          <w:tcPr>
            <w:tcW w:w="1454" w:type="dxa"/>
            <w:tcBorders>
              <w:top w:val="single" w:sz="4" w:space="0" w:color="auto"/>
              <w:left w:val="nil"/>
              <w:bottom w:val="single" w:sz="4" w:space="0" w:color="auto"/>
              <w:right w:val="nil"/>
            </w:tcBorders>
            <w:vAlign w:val="bottom"/>
          </w:tcPr>
          <w:p w:rsidR="00AF4391" w:rsidRPr="00915E21" w:rsidRDefault="00817E09" w:rsidP="00817E09">
            <w:pPr>
              <w:ind w:right="-71"/>
              <w:jc w:val="right"/>
              <w:rPr>
                <w:b/>
                <w:bCs/>
                <w:szCs w:val="22"/>
                <w:lang w:val="el-GR"/>
              </w:rPr>
            </w:pPr>
            <w:r>
              <w:rPr>
                <w:b/>
                <w:bCs/>
                <w:szCs w:val="22"/>
                <w:lang w:val="el-GR"/>
              </w:rPr>
              <w:br/>
              <w:t xml:space="preserve"> (2)</w:t>
            </w:r>
          </w:p>
        </w:tc>
        <w:tc>
          <w:tcPr>
            <w:tcW w:w="327" w:type="dxa"/>
            <w:tcBorders>
              <w:left w:val="nil"/>
              <w:right w:val="nil"/>
            </w:tcBorders>
            <w:vAlign w:val="bottom"/>
          </w:tcPr>
          <w:p w:rsidR="00AF4391" w:rsidRPr="00915E21" w:rsidRDefault="00AF4391">
            <w:pPr>
              <w:jc w:val="right"/>
              <w:rPr>
                <w:color w:val="FF0000"/>
                <w:szCs w:val="22"/>
                <w:lang w:val="el-GR"/>
              </w:rPr>
            </w:pPr>
          </w:p>
        </w:tc>
        <w:tc>
          <w:tcPr>
            <w:tcW w:w="1374" w:type="dxa"/>
            <w:tcBorders>
              <w:top w:val="single" w:sz="4" w:space="0" w:color="auto"/>
              <w:left w:val="nil"/>
              <w:bottom w:val="single" w:sz="4" w:space="0" w:color="auto"/>
              <w:right w:val="nil"/>
            </w:tcBorders>
            <w:noWrap/>
            <w:vAlign w:val="bottom"/>
          </w:tcPr>
          <w:p w:rsidR="00AF4391" w:rsidRPr="00C2484E" w:rsidRDefault="00737AA6">
            <w:pPr>
              <w:jc w:val="right"/>
              <w:rPr>
                <w:b/>
                <w:bCs/>
                <w:szCs w:val="22"/>
                <w:lang w:val="el-GR"/>
              </w:rPr>
            </w:pPr>
            <w:r w:rsidRPr="00C2484E">
              <w:rPr>
                <w:b/>
                <w:bCs/>
                <w:szCs w:val="22"/>
                <w:lang w:val="el-GR"/>
              </w:rPr>
              <w:t>(44)</w:t>
            </w:r>
          </w:p>
        </w:tc>
        <w:tc>
          <w:tcPr>
            <w:tcW w:w="574" w:type="dxa"/>
            <w:tcBorders>
              <w:left w:val="nil"/>
              <w:right w:val="nil"/>
            </w:tcBorders>
            <w:vAlign w:val="center"/>
          </w:tcPr>
          <w:p w:rsidR="00AF4391" w:rsidRPr="00915E21" w:rsidRDefault="00AF4391">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color w:val="FF0000"/>
                <w:szCs w:val="22"/>
                <w:lang w:val="el-GR"/>
              </w:rPr>
            </w:pPr>
          </w:p>
        </w:tc>
      </w:tr>
      <w:tr w:rsidR="00AF4391" w:rsidRPr="00915E21" w:rsidTr="004E1C2F">
        <w:trPr>
          <w:trHeight w:val="340"/>
        </w:trPr>
        <w:tc>
          <w:tcPr>
            <w:tcW w:w="4962" w:type="dxa"/>
            <w:tcBorders>
              <w:left w:val="nil"/>
              <w:right w:val="nil"/>
            </w:tcBorders>
            <w:noWrap/>
            <w:vAlign w:val="center"/>
          </w:tcPr>
          <w:p w:rsidR="00AF4391" w:rsidRPr="00915E21" w:rsidRDefault="00AF4391">
            <w:pPr>
              <w:rPr>
                <w:color w:val="FF0000"/>
                <w:szCs w:val="22"/>
                <w:lang w:val="el-GR"/>
              </w:rPr>
            </w:pPr>
          </w:p>
        </w:tc>
        <w:tc>
          <w:tcPr>
            <w:tcW w:w="1454" w:type="dxa"/>
            <w:tcBorders>
              <w:top w:val="single" w:sz="4" w:space="0" w:color="auto"/>
              <w:left w:val="nil"/>
              <w:right w:val="nil"/>
            </w:tcBorders>
            <w:vAlign w:val="bottom"/>
          </w:tcPr>
          <w:p w:rsidR="00AF4391" w:rsidRPr="00915E21" w:rsidRDefault="00AF4391">
            <w:pPr>
              <w:jc w:val="right"/>
              <w:rPr>
                <w:color w:val="FF0000"/>
                <w:szCs w:val="22"/>
                <w:lang w:val="el-GR"/>
              </w:rPr>
            </w:pPr>
          </w:p>
        </w:tc>
        <w:tc>
          <w:tcPr>
            <w:tcW w:w="327" w:type="dxa"/>
            <w:tcBorders>
              <w:left w:val="nil"/>
              <w:right w:val="nil"/>
            </w:tcBorders>
            <w:vAlign w:val="bottom"/>
          </w:tcPr>
          <w:p w:rsidR="00AF4391" w:rsidRPr="00915E21" w:rsidRDefault="00AF4391">
            <w:pPr>
              <w:jc w:val="right"/>
              <w:rPr>
                <w:color w:val="FF0000"/>
                <w:szCs w:val="22"/>
                <w:lang w:val="el-GR"/>
              </w:rPr>
            </w:pPr>
          </w:p>
        </w:tc>
        <w:tc>
          <w:tcPr>
            <w:tcW w:w="1374" w:type="dxa"/>
            <w:tcBorders>
              <w:top w:val="single" w:sz="4" w:space="0" w:color="auto"/>
              <w:left w:val="nil"/>
              <w:right w:val="nil"/>
            </w:tcBorders>
            <w:noWrap/>
            <w:vAlign w:val="bottom"/>
          </w:tcPr>
          <w:p w:rsidR="00AF4391" w:rsidRPr="00C2484E" w:rsidRDefault="00AF4391">
            <w:pPr>
              <w:jc w:val="right"/>
              <w:rPr>
                <w:color w:val="FF0000"/>
                <w:szCs w:val="22"/>
                <w:lang w:val="el-GR"/>
              </w:rPr>
            </w:pPr>
          </w:p>
        </w:tc>
        <w:tc>
          <w:tcPr>
            <w:tcW w:w="574" w:type="dxa"/>
            <w:tcBorders>
              <w:left w:val="nil"/>
              <w:right w:val="nil"/>
            </w:tcBorders>
            <w:vAlign w:val="center"/>
          </w:tcPr>
          <w:p w:rsidR="00AF4391" w:rsidRPr="00915E21" w:rsidRDefault="00AF4391">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color w:val="FF0000"/>
                <w:szCs w:val="22"/>
                <w:lang w:val="el-GR"/>
              </w:rPr>
            </w:pPr>
          </w:p>
        </w:tc>
      </w:tr>
      <w:tr w:rsidR="00AF4391" w:rsidRPr="00BD73D4" w:rsidTr="003F1E24">
        <w:trPr>
          <w:trHeight w:val="605"/>
        </w:trPr>
        <w:tc>
          <w:tcPr>
            <w:tcW w:w="4962" w:type="dxa"/>
            <w:tcBorders>
              <w:left w:val="nil"/>
              <w:right w:val="nil"/>
            </w:tcBorders>
            <w:noWrap/>
            <w:vAlign w:val="center"/>
          </w:tcPr>
          <w:p w:rsidR="00AF4391" w:rsidRPr="00915E21" w:rsidRDefault="00AF4391">
            <w:pPr>
              <w:pStyle w:val="AAheadingwocontents"/>
              <w:spacing w:line="240" w:lineRule="atLeast"/>
              <w:rPr>
                <w:bCs/>
                <w:szCs w:val="22"/>
                <w:lang w:val="el-GR"/>
              </w:rPr>
            </w:pPr>
            <w:r w:rsidRPr="00915E21">
              <w:rPr>
                <w:bCs/>
                <w:szCs w:val="22"/>
                <w:lang w:val="el-GR"/>
              </w:rPr>
              <w:t>Ταμειακές ροές από χρηματοδοτικές δραστηριότητες</w:t>
            </w:r>
          </w:p>
        </w:tc>
        <w:tc>
          <w:tcPr>
            <w:tcW w:w="1454" w:type="dxa"/>
            <w:tcBorders>
              <w:left w:val="nil"/>
              <w:right w:val="nil"/>
            </w:tcBorders>
            <w:vAlign w:val="bottom"/>
          </w:tcPr>
          <w:p w:rsidR="00AF4391" w:rsidRPr="00915E21" w:rsidRDefault="00AF4391">
            <w:pPr>
              <w:jc w:val="right"/>
              <w:rPr>
                <w:color w:val="FF0000"/>
                <w:szCs w:val="22"/>
                <w:lang w:val="el-GR"/>
              </w:rPr>
            </w:pPr>
          </w:p>
        </w:tc>
        <w:tc>
          <w:tcPr>
            <w:tcW w:w="327" w:type="dxa"/>
            <w:tcBorders>
              <w:left w:val="nil"/>
              <w:right w:val="nil"/>
            </w:tcBorders>
            <w:vAlign w:val="bottom"/>
          </w:tcPr>
          <w:p w:rsidR="00AF4391" w:rsidRPr="00915E21" w:rsidRDefault="00AF4391">
            <w:pPr>
              <w:jc w:val="right"/>
              <w:rPr>
                <w:color w:val="FF0000"/>
                <w:szCs w:val="22"/>
                <w:lang w:val="el-GR"/>
              </w:rPr>
            </w:pPr>
          </w:p>
        </w:tc>
        <w:tc>
          <w:tcPr>
            <w:tcW w:w="1374" w:type="dxa"/>
            <w:tcBorders>
              <w:left w:val="nil"/>
              <w:right w:val="nil"/>
            </w:tcBorders>
            <w:noWrap/>
            <w:vAlign w:val="bottom"/>
          </w:tcPr>
          <w:p w:rsidR="00AF4391" w:rsidRPr="00C2484E" w:rsidRDefault="00AF4391">
            <w:pPr>
              <w:jc w:val="right"/>
              <w:rPr>
                <w:color w:val="FF0000"/>
                <w:szCs w:val="22"/>
                <w:lang w:val="el-GR"/>
              </w:rPr>
            </w:pPr>
          </w:p>
        </w:tc>
        <w:tc>
          <w:tcPr>
            <w:tcW w:w="574" w:type="dxa"/>
            <w:tcBorders>
              <w:left w:val="nil"/>
              <w:right w:val="nil"/>
            </w:tcBorders>
            <w:vAlign w:val="center"/>
          </w:tcPr>
          <w:p w:rsidR="00AF4391" w:rsidRPr="00915E21" w:rsidRDefault="00AF4391">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color w:val="FF0000"/>
                <w:szCs w:val="22"/>
                <w:lang w:val="el-GR"/>
              </w:rPr>
            </w:pPr>
          </w:p>
        </w:tc>
      </w:tr>
      <w:tr w:rsidR="00AF4391" w:rsidRPr="00915E21" w:rsidTr="000C74BF">
        <w:trPr>
          <w:trHeight w:val="284"/>
        </w:trPr>
        <w:tc>
          <w:tcPr>
            <w:tcW w:w="4962" w:type="dxa"/>
            <w:tcBorders>
              <w:left w:val="nil"/>
              <w:right w:val="nil"/>
            </w:tcBorders>
            <w:noWrap/>
            <w:vAlign w:val="center"/>
          </w:tcPr>
          <w:p w:rsidR="00AF4391" w:rsidRPr="00915E21" w:rsidRDefault="00AF4391">
            <w:pPr>
              <w:rPr>
                <w:szCs w:val="22"/>
                <w:lang w:val="el-GR"/>
              </w:rPr>
            </w:pPr>
            <w:r w:rsidRPr="00915E21">
              <w:rPr>
                <w:szCs w:val="22"/>
                <w:lang w:val="el-GR"/>
              </w:rPr>
              <w:t>Εξοφλήσεις δανείων</w:t>
            </w:r>
          </w:p>
        </w:tc>
        <w:tc>
          <w:tcPr>
            <w:tcW w:w="1454" w:type="dxa"/>
            <w:tcBorders>
              <w:left w:val="nil"/>
              <w:right w:val="nil"/>
            </w:tcBorders>
            <w:vAlign w:val="bottom"/>
          </w:tcPr>
          <w:p w:rsidR="00AF4391" w:rsidRPr="00915E21" w:rsidRDefault="00AF4391">
            <w:pPr>
              <w:jc w:val="right"/>
              <w:rPr>
                <w:szCs w:val="22"/>
              </w:rPr>
            </w:pPr>
            <w:r w:rsidRPr="00915E21">
              <w:rPr>
                <w:szCs w:val="22"/>
              </w:rPr>
              <w:t>(44.137)</w:t>
            </w:r>
          </w:p>
        </w:tc>
        <w:tc>
          <w:tcPr>
            <w:tcW w:w="327" w:type="dxa"/>
            <w:tcBorders>
              <w:left w:val="nil"/>
              <w:right w:val="nil"/>
            </w:tcBorders>
            <w:vAlign w:val="bottom"/>
          </w:tcPr>
          <w:p w:rsidR="00AF4391" w:rsidRPr="00915E21" w:rsidRDefault="00AF4391">
            <w:pPr>
              <w:jc w:val="right"/>
              <w:rPr>
                <w:color w:val="FF0000"/>
                <w:szCs w:val="22"/>
                <w:lang w:val="el-GR"/>
              </w:rPr>
            </w:pPr>
          </w:p>
        </w:tc>
        <w:tc>
          <w:tcPr>
            <w:tcW w:w="1374" w:type="dxa"/>
            <w:tcBorders>
              <w:left w:val="nil"/>
              <w:right w:val="nil"/>
            </w:tcBorders>
            <w:noWrap/>
            <w:vAlign w:val="bottom"/>
          </w:tcPr>
          <w:p w:rsidR="00AF4391" w:rsidRPr="00C2484E" w:rsidRDefault="00AF4391">
            <w:pPr>
              <w:jc w:val="right"/>
              <w:rPr>
                <w:szCs w:val="22"/>
                <w:lang w:val="el-GR"/>
              </w:rPr>
            </w:pPr>
            <w:r w:rsidRPr="00C2484E">
              <w:rPr>
                <w:szCs w:val="22"/>
                <w:lang w:val="el-GR"/>
              </w:rPr>
              <w:t>(</w:t>
            </w:r>
            <w:r w:rsidR="001E0F38" w:rsidRPr="00C2484E">
              <w:rPr>
                <w:szCs w:val="22"/>
                <w:lang w:val="el-GR"/>
              </w:rPr>
              <w:t>16.350</w:t>
            </w:r>
            <w:r w:rsidRPr="00C2484E">
              <w:rPr>
                <w:szCs w:val="22"/>
                <w:lang w:val="el-GR"/>
              </w:rPr>
              <w:t>)</w:t>
            </w:r>
          </w:p>
        </w:tc>
        <w:tc>
          <w:tcPr>
            <w:tcW w:w="574" w:type="dxa"/>
            <w:tcBorders>
              <w:left w:val="nil"/>
              <w:right w:val="nil"/>
            </w:tcBorders>
            <w:vAlign w:val="center"/>
          </w:tcPr>
          <w:p w:rsidR="00AF4391" w:rsidRPr="00915E21" w:rsidRDefault="00AF4391">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color w:val="FF0000"/>
                <w:szCs w:val="22"/>
                <w:lang w:val="el-GR"/>
              </w:rPr>
            </w:pPr>
          </w:p>
        </w:tc>
      </w:tr>
      <w:tr w:rsidR="00AF4391" w:rsidRPr="00915E21" w:rsidTr="000C74BF">
        <w:trPr>
          <w:trHeight w:val="284"/>
        </w:trPr>
        <w:tc>
          <w:tcPr>
            <w:tcW w:w="4962" w:type="dxa"/>
            <w:tcBorders>
              <w:left w:val="nil"/>
              <w:right w:val="nil"/>
            </w:tcBorders>
            <w:noWrap/>
            <w:vAlign w:val="center"/>
          </w:tcPr>
          <w:p w:rsidR="00AF4391" w:rsidRPr="00915E21" w:rsidRDefault="00AF4391">
            <w:pPr>
              <w:rPr>
                <w:b/>
                <w:bCs/>
                <w:szCs w:val="22"/>
                <w:lang w:val="el-GR"/>
              </w:rPr>
            </w:pPr>
            <w:r w:rsidRPr="00915E21">
              <w:rPr>
                <w:b/>
                <w:bCs/>
                <w:szCs w:val="22"/>
                <w:lang w:val="el-GR"/>
              </w:rPr>
              <w:t>Καθαρή ταμειακή ροή από χρηματοδοτικές δραστηριότητες</w:t>
            </w:r>
          </w:p>
        </w:tc>
        <w:tc>
          <w:tcPr>
            <w:tcW w:w="1454" w:type="dxa"/>
            <w:tcBorders>
              <w:top w:val="single" w:sz="4" w:space="0" w:color="auto"/>
              <w:left w:val="nil"/>
              <w:bottom w:val="single" w:sz="4" w:space="0" w:color="auto"/>
              <w:right w:val="nil"/>
            </w:tcBorders>
            <w:vAlign w:val="bottom"/>
          </w:tcPr>
          <w:p w:rsidR="00AF4391" w:rsidRPr="00915E21" w:rsidRDefault="00AF4391" w:rsidP="00381374">
            <w:pPr>
              <w:jc w:val="right"/>
              <w:rPr>
                <w:b/>
                <w:bCs/>
                <w:szCs w:val="22"/>
              </w:rPr>
            </w:pPr>
            <w:r w:rsidRPr="00915E21">
              <w:rPr>
                <w:b/>
                <w:bCs/>
                <w:szCs w:val="22"/>
              </w:rPr>
              <w:t>(</w:t>
            </w:r>
            <w:r w:rsidR="006523C0">
              <w:rPr>
                <w:b/>
                <w:bCs/>
                <w:szCs w:val="22"/>
                <w:lang w:val="el-GR"/>
              </w:rPr>
              <w:t>44</w:t>
            </w:r>
            <w:r w:rsidRPr="00915E21">
              <w:rPr>
                <w:b/>
                <w:bCs/>
                <w:szCs w:val="22"/>
              </w:rPr>
              <w:t>.</w:t>
            </w:r>
            <w:r w:rsidR="006523C0">
              <w:rPr>
                <w:b/>
                <w:bCs/>
                <w:szCs w:val="22"/>
                <w:lang w:val="el-GR"/>
              </w:rPr>
              <w:t>137</w:t>
            </w:r>
            <w:r w:rsidRPr="00915E21">
              <w:rPr>
                <w:b/>
                <w:bCs/>
                <w:szCs w:val="22"/>
              </w:rPr>
              <w:t>)</w:t>
            </w:r>
          </w:p>
        </w:tc>
        <w:tc>
          <w:tcPr>
            <w:tcW w:w="327" w:type="dxa"/>
            <w:tcBorders>
              <w:left w:val="nil"/>
              <w:right w:val="nil"/>
            </w:tcBorders>
            <w:vAlign w:val="bottom"/>
          </w:tcPr>
          <w:p w:rsidR="00AF4391" w:rsidRPr="00915E21" w:rsidRDefault="00AF4391">
            <w:pPr>
              <w:jc w:val="right"/>
              <w:rPr>
                <w:color w:val="FF0000"/>
                <w:szCs w:val="22"/>
                <w:lang w:val="el-GR"/>
              </w:rPr>
            </w:pPr>
          </w:p>
        </w:tc>
        <w:tc>
          <w:tcPr>
            <w:tcW w:w="1374" w:type="dxa"/>
            <w:tcBorders>
              <w:top w:val="single" w:sz="4" w:space="0" w:color="auto"/>
              <w:left w:val="nil"/>
              <w:bottom w:val="single" w:sz="4" w:space="0" w:color="auto"/>
              <w:right w:val="nil"/>
            </w:tcBorders>
            <w:noWrap/>
            <w:vAlign w:val="bottom"/>
          </w:tcPr>
          <w:p w:rsidR="00AF4391" w:rsidRPr="00C2484E" w:rsidRDefault="00646B73">
            <w:pPr>
              <w:jc w:val="right"/>
              <w:rPr>
                <w:b/>
                <w:bCs/>
                <w:szCs w:val="22"/>
                <w:lang w:val="el-GR"/>
              </w:rPr>
            </w:pPr>
            <w:r w:rsidRPr="00C2484E">
              <w:rPr>
                <w:b/>
                <w:bCs/>
                <w:szCs w:val="22"/>
                <w:lang w:val="el-GR"/>
              </w:rPr>
              <w:t>(16.350</w:t>
            </w:r>
            <w:r w:rsidR="00AF4391" w:rsidRPr="00C2484E">
              <w:rPr>
                <w:b/>
                <w:bCs/>
                <w:szCs w:val="22"/>
                <w:lang w:val="el-GR"/>
              </w:rPr>
              <w:t>)</w:t>
            </w:r>
          </w:p>
        </w:tc>
        <w:tc>
          <w:tcPr>
            <w:tcW w:w="574" w:type="dxa"/>
            <w:tcBorders>
              <w:left w:val="nil"/>
              <w:right w:val="nil"/>
            </w:tcBorders>
            <w:vAlign w:val="center"/>
          </w:tcPr>
          <w:p w:rsidR="00AF4391" w:rsidRPr="00915E21" w:rsidRDefault="00AF4391">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color w:val="FF0000"/>
                <w:szCs w:val="22"/>
                <w:lang w:val="el-GR"/>
              </w:rPr>
            </w:pPr>
          </w:p>
        </w:tc>
      </w:tr>
      <w:tr w:rsidR="00AF4391" w:rsidRPr="00915E21">
        <w:trPr>
          <w:trHeight w:val="284"/>
        </w:trPr>
        <w:tc>
          <w:tcPr>
            <w:tcW w:w="4962" w:type="dxa"/>
            <w:tcBorders>
              <w:left w:val="nil"/>
              <w:right w:val="nil"/>
            </w:tcBorders>
            <w:noWrap/>
            <w:vAlign w:val="center"/>
          </w:tcPr>
          <w:p w:rsidR="00AF4391" w:rsidRPr="00915E21" w:rsidRDefault="00AF4391">
            <w:pPr>
              <w:rPr>
                <w:color w:val="FF0000"/>
                <w:szCs w:val="22"/>
                <w:lang w:val="el-GR"/>
              </w:rPr>
            </w:pPr>
          </w:p>
        </w:tc>
        <w:tc>
          <w:tcPr>
            <w:tcW w:w="1454" w:type="dxa"/>
            <w:tcBorders>
              <w:top w:val="single" w:sz="4" w:space="0" w:color="auto"/>
              <w:left w:val="nil"/>
              <w:right w:val="nil"/>
            </w:tcBorders>
            <w:vAlign w:val="bottom"/>
          </w:tcPr>
          <w:p w:rsidR="00AF4391" w:rsidRPr="00915E21" w:rsidRDefault="00AF4391">
            <w:pPr>
              <w:rPr>
                <w:color w:val="FF0000"/>
                <w:szCs w:val="22"/>
                <w:lang w:val="el-GR"/>
              </w:rPr>
            </w:pPr>
          </w:p>
        </w:tc>
        <w:tc>
          <w:tcPr>
            <w:tcW w:w="327" w:type="dxa"/>
            <w:tcBorders>
              <w:left w:val="nil"/>
              <w:right w:val="nil"/>
            </w:tcBorders>
            <w:vAlign w:val="bottom"/>
          </w:tcPr>
          <w:p w:rsidR="00AF4391" w:rsidRPr="00915E21" w:rsidRDefault="00AF4391">
            <w:pPr>
              <w:rPr>
                <w:color w:val="FF0000"/>
                <w:szCs w:val="22"/>
                <w:lang w:val="el-GR"/>
              </w:rPr>
            </w:pPr>
          </w:p>
        </w:tc>
        <w:tc>
          <w:tcPr>
            <w:tcW w:w="1374" w:type="dxa"/>
            <w:tcBorders>
              <w:top w:val="single" w:sz="4" w:space="0" w:color="auto"/>
              <w:left w:val="nil"/>
              <w:right w:val="nil"/>
            </w:tcBorders>
            <w:noWrap/>
            <w:vAlign w:val="bottom"/>
          </w:tcPr>
          <w:p w:rsidR="00AF4391" w:rsidRPr="00894E5E" w:rsidRDefault="00AF4391">
            <w:pPr>
              <w:rPr>
                <w:color w:val="FF0000"/>
                <w:szCs w:val="22"/>
                <w:highlight w:val="yellow"/>
                <w:lang w:val="el-GR"/>
              </w:rPr>
            </w:pPr>
          </w:p>
        </w:tc>
        <w:tc>
          <w:tcPr>
            <w:tcW w:w="574" w:type="dxa"/>
            <w:tcBorders>
              <w:left w:val="nil"/>
              <w:right w:val="nil"/>
            </w:tcBorders>
            <w:vAlign w:val="center"/>
          </w:tcPr>
          <w:p w:rsidR="00AF4391" w:rsidRPr="00915E21" w:rsidRDefault="00AF4391">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color w:val="FF0000"/>
                <w:szCs w:val="22"/>
                <w:lang w:val="el-GR"/>
              </w:rPr>
            </w:pPr>
          </w:p>
        </w:tc>
      </w:tr>
      <w:tr w:rsidR="00AF4391" w:rsidRPr="00915E21">
        <w:trPr>
          <w:trHeight w:val="284"/>
        </w:trPr>
        <w:tc>
          <w:tcPr>
            <w:tcW w:w="4962" w:type="dxa"/>
            <w:tcBorders>
              <w:left w:val="nil"/>
              <w:right w:val="nil"/>
            </w:tcBorders>
            <w:noWrap/>
            <w:vAlign w:val="center"/>
          </w:tcPr>
          <w:p w:rsidR="00AF4391" w:rsidRPr="00915E21" w:rsidRDefault="00AF4391">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color w:val="FF0000"/>
                <w:szCs w:val="22"/>
                <w:lang w:val="el-GR"/>
              </w:rPr>
            </w:pPr>
          </w:p>
        </w:tc>
        <w:tc>
          <w:tcPr>
            <w:tcW w:w="1454" w:type="dxa"/>
            <w:tcBorders>
              <w:left w:val="nil"/>
              <w:right w:val="nil"/>
            </w:tcBorders>
            <w:vAlign w:val="bottom"/>
          </w:tcPr>
          <w:p w:rsidR="00AF4391" w:rsidRPr="00915E21" w:rsidRDefault="00AF4391">
            <w:pPr>
              <w:jc w:val="right"/>
              <w:rPr>
                <w:b/>
                <w:bCs/>
                <w:color w:val="FF0000"/>
                <w:szCs w:val="22"/>
                <w:lang w:val="el-GR"/>
              </w:rPr>
            </w:pPr>
          </w:p>
        </w:tc>
        <w:tc>
          <w:tcPr>
            <w:tcW w:w="327" w:type="dxa"/>
            <w:tcBorders>
              <w:left w:val="nil"/>
              <w:right w:val="nil"/>
            </w:tcBorders>
            <w:vAlign w:val="bottom"/>
          </w:tcPr>
          <w:p w:rsidR="00AF4391" w:rsidRPr="00915E21" w:rsidRDefault="00AF4391">
            <w:pPr>
              <w:rPr>
                <w:color w:val="FF0000"/>
                <w:szCs w:val="22"/>
                <w:lang w:val="el-GR"/>
              </w:rPr>
            </w:pPr>
          </w:p>
        </w:tc>
        <w:tc>
          <w:tcPr>
            <w:tcW w:w="1374" w:type="dxa"/>
            <w:tcBorders>
              <w:left w:val="nil"/>
              <w:right w:val="nil"/>
            </w:tcBorders>
            <w:noWrap/>
            <w:vAlign w:val="bottom"/>
          </w:tcPr>
          <w:p w:rsidR="00AF4391" w:rsidRPr="00894E5E" w:rsidRDefault="00AF4391">
            <w:pPr>
              <w:jc w:val="right"/>
              <w:rPr>
                <w:b/>
                <w:bCs/>
                <w:color w:val="FF0000"/>
                <w:szCs w:val="22"/>
                <w:highlight w:val="yellow"/>
                <w:lang w:val="el-GR"/>
              </w:rPr>
            </w:pPr>
          </w:p>
        </w:tc>
        <w:tc>
          <w:tcPr>
            <w:tcW w:w="574" w:type="dxa"/>
            <w:tcBorders>
              <w:left w:val="nil"/>
              <w:right w:val="nil"/>
            </w:tcBorders>
            <w:vAlign w:val="center"/>
          </w:tcPr>
          <w:p w:rsidR="00AF4391" w:rsidRPr="00915E21" w:rsidRDefault="00AF4391">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color w:val="FF0000"/>
                <w:szCs w:val="22"/>
                <w:lang w:val="el-GR"/>
              </w:rPr>
            </w:pPr>
          </w:p>
        </w:tc>
      </w:tr>
      <w:tr w:rsidR="00AF4391" w:rsidRPr="00915E21">
        <w:trPr>
          <w:trHeight w:val="284"/>
        </w:trPr>
        <w:tc>
          <w:tcPr>
            <w:tcW w:w="4962" w:type="dxa"/>
            <w:tcBorders>
              <w:left w:val="nil"/>
              <w:right w:val="nil"/>
            </w:tcBorders>
            <w:noWrap/>
            <w:vAlign w:val="center"/>
          </w:tcPr>
          <w:p w:rsidR="00AF4391" w:rsidRPr="00915E21" w:rsidRDefault="00AF4391">
            <w:pPr>
              <w:rPr>
                <w:b/>
                <w:bCs/>
                <w:szCs w:val="22"/>
                <w:lang w:val="el-GR"/>
              </w:rPr>
            </w:pPr>
            <w:r w:rsidRPr="00915E21">
              <w:rPr>
                <w:b/>
                <w:bCs/>
                <w:szCs w:val="22"/>
                <w:lang w:val="el-GR"/>
              </w:rPr>
              <w:t>Καθαρή αύξηση / (μείωση) ταμείου και χρηματικών διαθεσίμων</w:t>
            </w:r>
          </w:p>
        </w:tc>
        <w:tc>
          <w:tcPr>
            <w:tcW w:w="1454" w:type="dxa"/>
            <w:tcBorders>
              <w:left w:val="nil"/>
              <w:right w:val="nil"/>
            </w:tcBorders>
            <w:vAlign w:val="bottom"/>
          </w:tcPr>
          <w:p w:rsidR="00AF4391" w:rsidRPr="00915E21" w:rsidRDefault="00AF4391">
            <w:pPr>
              <w:jc w:val="right"/>
              <w:rPr>
                <w:b/>
                <w:bCs/>
                <w:szCs w:val="22"/>
              </w:rPr>
            </w:pPr>
            <w:r w:rsidRPr="00915E21">
              <w:rPr>
                <w:b/>
                <w:bCs/>
                <w:szCs w:val="22"/>
              </w:rPr>
              <w:t>(</w:t>
            </w:r>
            <w:r w:rsidRPr="00915E21">
              <w:rPr>
                <w:b/>
                <w:bCs/>
                <w:szCs w:val="22"/>
                <w:lang w:val="el-GR"/>
              </w:rPr>
              <w:t>80.029</w:t>
            </w:r>
            <w:r w:rsidRPr="00915E21">
              <w:rPr>
                <w:b/>
                <w:bCs/>
                <w:szCs w:val="22"/>
              </w:rPr>
              <w:t>)</w:t>
            </w:r>
          </w:p>
        </w:tc>
        <w:tc>
          <w:tcPr>
            <w:tcW w:w="327" w:type="dxa"/>
            <w:tcBorders>
              <w:left w:val="nil"/>
              <w:right w:val="nil"/>
            </w:tcBorders>
            <w:vAlign w:val="bottom"/>
          </w:tcPr>
          <w:p w:rsidR="00AF4391" w:rsidRPr="00915E21" w:rsidRDefault="00AF4391">
            <w:pPr>
              <w:rPr>
                <w:color w:val="FF0000"/>
                <w:szCs w:val="22"/>
                <w:lang w:val="el-GR"/>
              </w:rPr>
            </w:pPr>
          </w:p>
        </w:tc>
        <w:tc>
          <w:tcPr>
            <w:tcW w:w="1374" w:type="dxa"/>
            <w:tcBorders>
              <w:left w:val="nil"/>
              <w:right w:val="nil"/>
            </w:tcBorders>
            <w:noWrap/>
            <w:vAlign w:val="bottom"/>
          </w:tcPr>
          <w:p w:rsidR="00AF4391" w:rsidRPr="00F4582A" w:rsidRDefault="00AF4391">
            <w:pPr>
              <w:jc w:val="right"/>
              <w:rPr>
                <w:b/>
                <w:bCs/>
                <w:szCs w:val="22"/>
                <w:lang w:val="el-GR"/>
              </w:rPr>
            </w:pPr>
            <w:r w:rsidRPr="00F4582A">
              <w:rPr>
                <w:b/>
                <w:bCs/>
                <w:szCs w:val="22"/>
              </w:rPr>
              <w:t>18.</w:t>
            </w:r>
            <w:r w:rsidRPr="00F4582A">
              <w:rPr>
                <w:b/>
                <w:bCs/>
                <w:szCs w:val="22"/>
                <w:lang w:val="el-GR"/>
              </w:rPr>
              <w:t>366</w:t>
            </w:r>
          </w:p>
        </w:tc>
        <w:tc>
          <w:tcPr>
            <w:tcW w:w="574" w:type="dxa"/>
            <w:tcBorders>
              <w:left w:val="nil"/>
              <w:right w:val="nil"/>
            </w:tcBorders>
            <w:vAlign w:val="center"/>
          </w:tcPr>
          <w:p w:rsidR="00AF4391" w:rsidRPr="00915E21" w:rsidRDefault="00AF4391">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color w:val="FF0000"/>
                <w:szCs w:val="22"/>
                <w:lang w:val="el-GR"/>
              </w:rPr>
            </w:pPr>
          </w:p>
        </w:tc>
      </w:tr>
      <w:tr w:rsidR="00AF4391" w:rsidRPr="00915E21">
        <w:trPr>
          <w:trHeight w:val="284"/>
        </w:trPr>
        <w:tc>
          <w:tcPr>
            <w:tcW w:w="4962" w:type="dxa"/>
            <w:tcBorders>
              <w:left w:val="nil"/>
              <w:right w:val="nil"/>
            </w:tcBorders>
            <w:noWrap/>
            <w:vAlign w:val="center"/>
          </w:tcPr>
          <w:p w:rsidR="00AF4391" w:rsidRPr="00915E21" w:rsidRDefault="00AF4391">
            <w:pPr>
              <w:rPr>
                <w:szCs w:val="22"/>
                <w:lang w:val="el-GR"/>
              </w:rPr>
            </w:pPr>
            <w:r w:rsidRPr="00915E21">
              <w:rPr>
                <w:szCs w:val="22"/>
                <w:lang w:val="el-GR"/>
              </w:rPr>
              <w:t>Χρηµατικά διαθέσιµα ενάρξεως περιόδου</w:t>
            </w:r>
          </w:p>
        </w:tc>
        <w:tc>
          <w:tcPr>
            <w:tcW w:w="1454" w:type="dxa"/>
            <w:tcBorders>
              <w:left w:val="nil"/>
              <w:right w:val="nil"/>
            </w:tcBorders>
            <w:vAlign w:val="bottom"/>
          </w:tcPr>
          <w:p w:rsidR="00AF4391" w:rsidRPr="00915E21" w:rsidRDefault="00AF4391">
            <w:pPr>
              <w:jc w:val="right"/>
              <w:rPr>
                <w:szCs w:val="22"/>
              </w:rPr>
            </w:pPr>
            <w:r w:rsidRPr="00915E21">
              <w:rPr>
                <w:szCs w:val="22"/>
              </w:rPr>
              <w:t>102.501</w:t>
            </w:r>
          </w:p>
        </w:tc>
        <w:tc>
          <w:tcPr>
            <w:tcW w:w="327" w:type="dxa"/>
            <w:tcBorders>
              <w:left w:val="nil"/>
              <w:right w:val="nil"/>
            </w:tcBorders>
            <w:vAlign w:val="bottom"/>
          </w:tcPr>
          <w:p w:rsidR="00AF4391" w:rsidRPr="00915E21" w:rsidRDefault="00AF4391">
            <w:pPr>
              <w:rPr>
                <w:color w:val="FF0000"/>
                <w:szCs w:val="22"/>
                <w:lang w:val="el-GR"/>
              </w:rPr>
            </w:pPr>
          </w:p>
        </w:tc>
        <w:tc>
          <w:tcPr>
            <w:tcW w:w="1374" w:type="dxa"/>
            <w:tcBorders>
              <w:left w:val="nil"/>
              <w:right w:val="nil"/>
            </w:tcBorders>
            <w:noWrap/>
            <w:vAlign w:val="bottom"/>
          </w:tcPr>
          <w:p w:rsidR="00AF4391" w:rsidRPr="00F4582A" w:rsidRDefault="00AF4391">
            <w:pPr>
              <w:jc w:val="right"/>
              <w:rPr>
                <w:szCs w:val="22"/>
              </w:rPr>
            </w:pPr>
            <w:r w:rsidRPr="00F4582A">
              <w:rPr>
                <w:szCs w:val="22"/>
              </w:rPr>
              <w:t>84.135</w:t>
            </w:r>
          </w:p>
        </w:tc>
        <w:tc>
          <w:tcPr>
            <w:tcW w:w="574" w:type="dxa"/>
            <w:tcBorders>
              <w:left w:val="nil"/>
              <w:right w:val="nil"/>
            </w:tcBorders>
            <w:vAlign w:val="center"/>
          </w:tcPr>
          <w:p w:rsidR="00AF4391" w:rsidRPr="00915E21" w:rsidRDefault="00AF4391">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color w:val="FF0000"/>
                <w:szCs w:val="22"/>
                <w:lang w:val="el-GR"/>
              </w:rPr>
            </w:pPr>
          </w:p>
        </w:tc>
      </w:tr>
      <w:tr w:rsidR="00AF4391" w:rsidRPr="00915E21">
        <w:trPr>
          <w:trHeight w:val="284"/>
        </w:trPr>
        <w:tc>
          <w:tcPr>
            <w:tcW w:w="4962" w:type="dxa"/>
            <w:tcBorders>
              <w:left w:val="nil"/>
              <w:right w:val="nil"/>
            </w:tcBorders>
            <w:noWrap/>
            <w:vAlign w:val="center"/>
          </w:tcPr>
          <w:p w:rsidR="00AF4391" w:rsidRPr="00915E21" w:rsidRDefault="00AF4391">
            <w:pPr>
              <w:rPr>
                <w:b/>
                <w:szCs w:val="22"/>
                <w:lang w:val="el-GR"/>
              </w:rPr>
            </w:pPr>
            <w:r w:rsidRPr="00915E21">
              <w:rPr>
                <w:b/>
                <w:szCs w:val="22"/>
                <w:lang w:val="el-GR"/>
              </w:rPr>
              <w:t>Χρηµατικά διαθέσιµα λήξεως περιόδου</w:t>
            </w:r>
          </w:p>
        </w:tc>
        <w:tc>
          <w:tcPr>
            <w:tcW w:w="1454" w:type="dxa"/>
            <w:tcBorders>
              <w:left w:val="nil"/>
              <w:bottom w:val="double" w:sz="4" w:space="0" w:color="auto"/>
              <w:right w:val="nil"/>
            </w:tcBorders>
            <w:vAlign w:val="bottom"/>
          </w:tcPr>
          <w:p w:rsidR="00AF4391" w:rsidRPr="00915E21" w:rsidRDefault="00D31681" w:rsidP="00D31681">
            <w:pPr>
              <w:jc w:val="center"/>
              <w:rPr>
                <w:b/>
                <w:bCs/>
                <w:szCs w:val="22"/>
                <w:lang w:val="el-GR"/>
              </w:rPr>
            </w:pPr>
            <w:r>
              <w:rPr>
                <w:b/>
                <w:bCs/>
                <w:szCs w:val="22"/>
                <w:lang w:val="el-GR"/>
              </w:rPr>
              <w:t xml:space="preserve">           </w:t>
            </w:r>
            <w:r w:rsidR="00AF4391" w:rsidRPr="00915E21">
              <w:rPr>
                <w:b/>
                <w:bCs/>
                <w:szCs w:val="22"/>
              </w:rPr>
              <w:t>2</w:t>
            </w:r>
            <w:r w:rsidR="00AF4391" w:rsidRPr="00915E21">
              <w:rPr>
                <w:b/>
                <w:bCs/>
                <w:szCs w:val="22"/>
                <w:lang w:val="el-GR"/>
              </w:rPr>
              <w:t>2</w:t>
            </w:r>
            <w:r w:rsidR="00AF4391" w:rsidRPr="00915E21">
              <w:rPr>
                <w:b/>
                <w:bCs/>
                <w:szCs w:val="22"/>
              </w:rPr>
              <w:t>.</w:t>
            </w:r>
            <w:r w:rsidR="00AF4391" w:rsidRPr="00915E21">
              <w:rPr>
                <w:b/>
                <w:bCs/>
                <w:szCs w:val="22"/>
                <w:lang w:val="el-GR"/>
              </w:rPr>
              <w:t>472</w:t>
            </w:r>
          </w:p>
        </w:tc>
        <w:tc>
          <w:tcPr>
            <w:tcW w:w="327" w:type="dxa"/>
            <w:tcBorders>
              <w:left w:val="nil"/>
              <w:right w:val="nil"/>
            </w:tcBorders>
            <w:vAlign w:val="bottom"/>
          </w:tcPr>
          <w:p w:rsidR="00AF4391" w:rsidRPr="00915E21" w:rsidRDefault="00AF4391">
            <w:pPr>
              <w:rPr>
                <w:color w:val="FF0000"/>
                <w:szCs w:val="22"/>
                <w:lang w:val="el-GR"/>
              </w:rPr>
            </w:pPr>
          </w:p>
        </w:tc>
        <w:tc>
          <w:tcPr>
            <w:tcW w:w="1374" w:type="dxa"/>
            <w:tcBorders>
              <w:left w:val="nil"/>
              <w:bottom w:val="double" w:sz="4" w:space="0" w:color="auto"/>
              <w:right w:val="nil"/>
            </w:tcBorders>
            <w:noWrap/>
            <w:vAlign w:val="bottom"/>
          </w:tcPr>
          <w:p w:rsidR="00AF4391" w:rsidRPr="00F4582A" w:rsidRDefault="00AF4391">
            <w:pPr>
              <w:jc w:val="right"/>
              <w:rPr>
                <w:b/>
                <w:bCs/>
                <w:szCs w:val="22"/>
              </w:rPr>
            </w:pPr>
            <w:r w:rsidRPr="00F4582A">
              <w:rPr>
                <w:b/>
                <w:bCs/>
                <w:szCs w:val="22"/>
              </w:rPr>
              <w:t>102.501</w:t>
            </w:r>
          </w:p>
        </w:tc>
        <w:tc>
          <w:tcPr>
            <w:tcW w:w="574" w:type="dxa"/>
            <w:tcBorders>
              <w:left w:val="nil"/>
              <w:right w:val="nil"/>
            </w:tcBorders>
            <w:vAlign w:val="center"/>
          </w:tcPr>
          <w:p w:rsidR="00AF4391" w:rsidRPr="00915E21" w:rsidRDefault="00AF4391">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color w:val="FF0000"/>
                <w:szCs w:val="22"/>
                <w:lang w:val="el-GR"/>
              </w:rPr>
            </w:pPr>
          </w:p>
        </w:tc>
      </w:tr>
    </w:tbl>
    <w:p w:rsidR="004B417C" w:rsidRPr="00915E21" w:rsidRDefault="004B417C">
      <w:pPr>
        <w:pStyle w:val="xl38"/>
        <w:pBdr>
          <w:bottom w:val="none" w:sz="0" w:space="0" w:color="auto"/>
        </w:pBdr>
        <w:spacing w:before="0" w:beforeAutospacing="0" w:after="0" w:afterAutospacing="0" w:line="360" w:lineRule="auto"/>
        <w:ind w:right="282"/>
        <w:jc w:val="both"/>
        <w:rPr>
          <w:rFonts w:eastAsia="Times New Roman" w:cs="Times New Roman"/>
          <w:b w:val="0"/>
          <w:sz w:val="20"/>
          <w:szCs w:val="18"/>
          <w:lang w:val="en-US" w:eastAsia="en-US"/>
        </w:rPr>
      </w:pPr>
    </w:p>
    <w:p w:rsidR="00305EFA" w:rsidRDefault="00305EFA" w:rsidP="00A57F38">
      <w:pPr>
        <w:pStyle w:val="xl38"/>
        <w:pBdr>
          <w:bottom w:val="none" w:sz="0" w:space="0" w:color="auto"/>
        </w:pBdr>
        <w:spacing w:before="0" w:beforeAutospacing="0" w:after="0" w:afterAutospacing="0" w:line="360" w:lineRule="auto"/>
        <w:jc w:val="both"/>
        <w:rPr>
          <w:rFonts w:eastAsia="Times New Roman" w:cs="Times New Roman"/>
          <w:b w:val="0"/>
          <w:sz w:val="20"/>
          <w:szCs w:val="18"/>
          <w:lang w:eastAsia="en-US"/>
        </w:rPr>
      </w:pPr>
    </w:p>
    <w:p w:rsidR="00305EFA" w:rsidRDefault="00305EFA" w:rsidP="00A57F38">
      <w:pPr>
        <w:pStyle w:val="xl38"/>
        <w:pBdr>
          <w:bottom w:val="none" w:sz="0" w:space="0" w:color="auto"/>
        </w:pBdr>
        <w:spacing w:before="0" w:beforeAutospacing="0" w:after="0" w:afterAutospacing="0" w:line="360" w:lineRule="auto"/>
        <w:jc w:val="both"/>
        <w:rPr>
          <w:rFonts w:eastAsia="Times New Roman" w:cs="Times New Roman"/>
          <w:b w:val="0"/>
          <w:sz w:val="20"/>
          <w:szCs w:val="18"/>
          <w:lang w:eastAsia="en-US"/>
        </w:rPr>
      </w:pPr>
    </w:p>
    <w:p w:rsidR="004B417C" w:rsidRDefault="004B417C" w:rsidP="00A57F38">
      <w:pPr>
        <w:pStyle w:val="xl38"/>
        <w:pBdr>
          <w:bottom w:val="none" w:sz="0" w:space="0" w:color="auto"/>
        </w:pBdr>
        <w:spacing w:before="0" w:beforeAutospacing="0" w:after="0" w:afterAutospacing="0" w:line="360" w:lineRule="auto"/>
        <w:jc w:val="both"/>
        <w:rPr>
          <w:rFonts w:eastAsia="Times New Roman" w:cs="Times New Roman"/>
          <w:b w:val="0"/>
          <w:sz w:val="20"/>
          <w:szCs w:val="18"/>
          <w:lang w:eastAsia="en-US"/>
        </w:rPr>
      </w:pPr>
      <w:r w:rsidRPr="00915E21">
        <w:rPr>
          <w:rFonts w:eastAsia="Times New Roman" w:cs="Times New Roman"/>
          <w:b w:val="0"/>
          <w:sz w:val="20"/>
          <w:szCs w:val="18"/>
          <w:lang w:eastAsia="en-US"/>
        </w:rPr>
        <w:t>Οι επισυναπτόμενες σημειώσεις  που αναφέρονται στις σελίδες από 5 έως 30 αποτελούν αναπόσπαστο μέρος των οικονομικών καταστάσεων.</w:t>
      </w:r>
    </w:p>
    <w:p w:rsidR="004B417C" w:rsidRDefault="004B417C">
      <w:pPr>
        <w:pStyle w:val="BodyText"/>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after="0"/>
        <w:ind w:left="540"/>
        <w:jc w:val="both"/>
        <w:rPr>
          <w:lang w:val="el-GR"/>
        </w:rPr>
        <w:sectPr w:rsidR="004B417C" w:rsidSect="00DD7F69">
          <w:headerReference w:type="default" r:id="rId23"/>
          <w:footerReference w:type="default" r:id="rId24"/>
          <w:type w:val="oddPage"/>
          <w:pgSz w:w="11906" w:h="16838" w:code="9"/>
          <w:pgMar w:top="1134" w:right="1985" w:bottom="902" w:left="1260" w:header="482" w:footer="380" w:gutter="0"/>
          <w:pgNumType w:start="1"/>
          <w:cols w:space="720"/>
        </w:sectPr>
      </w:pPr>
    </w:p>
    <w:p w:rsidR="004B417C" w:rsidRDefault="004B417C" w:rsidP="006B1B03">
      <w:pPr>
        <w:pStyle w:val="Heading1"/>
        <w:keepLines/>
        <w:numPr>
          <w:ilvl w:val="0"/>
          <w:numId w:val="28"/>
        </w:numPr>
        <w:shd w:val="clear" w:color="auto" w:fill="auto"/>
        <w:spacing w:before="130" w:line="280" w:lineRule="atLeast"/>
        <w:rPr>
          <w:szCs w:val="22"/>
          <w:lang w:val="el-GR"/>
        </w:rPr>
      </w:pPr>
      <w:bookmarkStart w:id="4" w:name="_Toc128477807"/>
      <w:r>
        <w:rPr>
          <w:szCs w:val="22"/>
          <w:lang w:val="el-GR"/>
        </w:rPr>
        <w:lastRenderedPageBreak/>
        <w:t xml:space="preserve">Πληροφορίες για </w:t>
      </w:r>
      <w:bookmarkEnd w:id="4"/>
      <w:r>
        <w:rPr>
          <w:szCs w:val="22"/>
          <w:lang w:val="el-GR"/>
        </w:rPr>
        <w:t>την Εταιρία</w:t>
      </w:r>
    </w:p>
    <w:p w:rsidR="004B417C" w:rsidRDefault="004B417C">
      <w:pPr>
        <w:pStyle w:val="BodyText"/>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after="0"/>
        <w:jc w:val="both"/>
        <w:rPr>
          <w:lang w:val="el-GR"/>
        </w:rPr>
      </w:pPr>
    </w:p>
    <w:p w:rsidR="004B417C" w:rsidRDefault="004B417C" w:rsidP="008D4BD0">
      <w:pPr>
        <w:pStyle w:val="BodyText"/>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after="0"/>
        <w:jc w:val="both"/>
        <w:rPr>
          <w:lang w:val="el-GR"/>
        </w:rPr>
      </w:pPr>
      <w:r>
        <w:rPr>
          <w:lang w:val="el-GR"/>
        </w:rPr>
        <w:t>Η Εταιρεία «ΑΤΕ ΛΗΖΙΝΓΚ ΑΝΩΝΥΜΗ ΕΤΑΙΡΕΙΑ ΧΡΗΜΑΤΟΔΟΤΙΚΗΣ ΜΙΣΘΩΣΗΣ» με διακριτικό τίτλο «</w:t>
      </w:r>
      <w:r>
        <w:t>ATE</w:t>
      </w:r>
      <w:r>
        <w:rPr>
          <w:lang w:val="el-GR"/>
        </w:rPr>
        <w:t xml:space="preserve"> LEASING </w:t>
      </w:r>
      <w:r>
        <w:t>A</w:t>
      </w:r>
      <w:r>
        <w:rPr>
          <w:lang w:val="el-GR"/>
        </w:rPr>
        <w:t>.</w:t>
      </w:r>
      <w:r>
        <w:t>E</w:t>
      </w:r>
      <w:r>
        <w:rPr>
          <w:lang w:val="el-GR"/>
        </w:rPr>
        <w:t>.» ιδρύθηκε το 1991 και έχει έδρα το Δήμο Αθηναίων.</w:t>
      </w:r>
    </w:p>
    <w:p w:rsidR="004B417C" w:rsidRDefault="004B417C" w:rsidP="008D4BD0">
      <w:pPr>
        <w:pStyle w:val="BodyText"/>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after="0"/>
        <w:jc w:val="both"/>
        <w:rPr>
          <w:lang w:val="el-GR"/>
        </w:rPr>
      </w:pPr>
    </w:p>
    <w:p w:rsidR="004B417C" w:rsidRDefault="004B417C" w:rsidP="008D4BD0">
      <w:pPr>
        <w:pStyle w:val="BodyText"/>
        <w:tabs>
          <w:tab w:val="clear" w:pos="227"/>
          <w:tab w:val="clear" w:pos="454"/>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jc w:val="both"/>
        <w:rPr>
          <w:lang w:val="el-GR"/>
        </w:rPr>
      </w:pPr>
      <w:r>
        <w:rPr>
          <w:lang w:val="el-GR"/>
        </w:rPr>
        <w:t xml:space="preserve">Κύριο αντικείμενο της Εταιρείας είναι η σύναψη συμβάσεων Χρηματοδοτικής Μίσθωσης (leasing) πάσης φύσεως κινητού εξοπλισμού και ακινήτων σύμφωνα με τις διατάξεις του Ν.1665/1986 περί συμβάσεων χρηματοδοτικής μισθώσεως. </w:t>
      </w:r>
    </w:p>
    <w:p w:rsidR="004B417C" w:rsidRDefault="004B417C" w:rsidP="008D4BD0">
      <w:pPr>
        <w:pStyle w:val="BodyText"/>
        <w:tabs>
          <w:tab w:val="clear" w:pos="227"/>
          <w:tab w:val="clear" w:pos="454"/>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jc w:val="both"/>
        <w:rPr>
          <w:lang w:val="el-GR"/>
        </w:rPr>
      </w:pPr>
      <w:r>
        <w:rPr>
          <w:lang w:val="el-GR"/>
        </w:rPr>
        <w:t>Τα εκμισθωμένα πάγια περιλαμβάνουν παραγωγικό εξοπλισμό που απευθύνεται στη βιομηχανία, τεχνικές εταιρείες, ιατρικό χώρο, αγροτικό τομέα, κτλ. Δραστηριοποιείται σε όλες τις μορφές leasing προσφέροντας:</w:t>
      </w:r>
    </w:p>
    <w:p w:rsidR="004B417C" w:rsidRDefault="004B417C" w:rsidP="00AC2D11">
      <w:pPr>
        <w:pStyle w:val="BodyText"/>
        <w:numPr>
          <w:ilvl w:val="0"/>
          <w:numId w:val="25"/>
        </w:numPr>
        <w:tabs>
          <w:tab w:val="clear" w:pos="227"/>
          <w:tab w:val="clear" w:pos="454"/>
          <w:tab w:val="clear" w:pos="680"/>
          <w:tab w:val="clear" w:pos="907"/>
          <w:tab w:val="clear" w:pos="1260"/>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num" w:pos="360"/>
        </w:tabs>
        <w:spacing w:after="0"/>
        <w:ind w:left="360"/>
        <w:jc w:val="both"/>
        <w:rPr>
          <w:lang w:val="el-GR"/>
        </w:rPr>
      </w:pPr>
      <w:r>
        <w:rPr>
          <w:lang w:val="el-GR"/>
        </w:rPr>
        <w:t>Χρηματοδοτική Μίσθωση (financial leasing).</w:t>
      </w:r>
    </w:p>
    <w:p w:rsidR="004B417C" w:rsidRDefault="004B417C" w:rsidP="00AC2D11">
      <w:pPr>
        <w:pStyle w:val="BodyText"/>
        <w:numPr>
          <w:ilvl w:val="0"/>
          <w:numId w:val="25"/>
        </w:numPr>
        <w:tabs>
          <w:tab w:val="clear" w:pos="227"/>
          <w:tab w:val="clear" w:pos="454"/>
          <w:tab w:val="clear" w:pos="680"/>
          <w:tab w:val="clear" w:pos="907"/>
          <w:tab w:val="clear" w:pos="1260"/>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num" w:pos="360"/>
        </w:tabs>
        <w:spacing w:after="0"/>
        <w:ind w:left="360"/>
        <w:jc w:val="both"/>
        <w:rPr>
          <w:lang w:val="el-GR"/>
        </w:rPr>
      </w:pPr>
      <w:r>
        <w:rPr>
          <w:lang w:val="el-GR"/>
        </w:rPr>
        <w:t>Πώληση και επαναμίσθωση (sale and lease-back).</w:t>
      </w:r>
    </w:p>
    <w:p w:rsidR="004B417C" w:rsidRDefault="004B417C" w:rsidP="00AC2D11">
      <w:pPr>
        <w:pStyle w:val="BodyText"/>
        <w:numPr>
          <w:ilvl w:val="0"/>
          <w:numId w:val="25"/>
        </w:numPr>
        <w:tabs>
          <w:tab w:val="clear" w:pos="227"/>
          <w:tab w:val="clear" w:pos="454"/>
          <w:tab w:val="clear" w:pos="680"/>
          <w:tab w:val="clear" w:pos="907"/>
          <w:tab w:val="clear" w:pos="1260"/>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num" w:pos="360"/>
        </w:tabs>
        <w:spacing w:after="0"/>
        <w:ind w:left="360"/>
        <w:jc w:val="both"/>
        <w:rPr>
          <w:lang w:val="el-GR"/>
        </w:rPr>
      </w:pPr>
      <w:r>
        <w:rPr>
          <w:lang w:val="el-GR"/>
        </w:rPr>
        <w:t>Χρηματοδοτική μίσθωση με συνεργασία προμηθευτών (vendor leasing).</w:t>
      </w:r>
    </w:p>
    <w:p w:rsidR="004B417C" w:rsidRDefault="004B417C" w:rsidP="00AC2D11">
      <w:pPr>
        <w:pStyle w:val="BodyText"/>
        <w:numPr>
          <w:ilvl w:val="0"/>
          <w:numId w:val="25"/>
        </w:numPr>
        <w:tabs>
          <w:tab w:val="clear" w:pos="227"/>
          <w:tab w:val="clear" w:pos="454"/>
          <w:tab w:val="clear" w:pos="680"/>
          <w:tab w:val="clear" w:pos="907"/>
          <w:tab w:val="clear" w:pos="1260"/>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num" w:pos="360"/>
        </w:tabs>
        <w:spacing w:after="0"/>
        <w:ind w:left="360"/>
        <w:jc w:val="both"/>
        <w:rPr>
          <w:lang w:val="el-GR"/>
        </w:rPr>
      </w:pPr>
      <w:r>
        <w:rPr>
          <w:lang w:val="el-GR"/>
        </w:rPr>
        <w:t>Διασυνοριακή χρηματοδοτική μίσθωση (cross-border leasing).</w:t>
      </w:r>
    </w:p>
    <w:p w:rsidR="004B417C" w:rsidRDefault="004B417C" w:rsidP="00AC2D11">
      <w:pPr>
        <w:pStyle w:val="BodyText"/>
        <w:numPr>
          <w:ilvl w:val="0"/>
          <w:numId w:val="25"/>
        </w:numPr>
        <w:tabs>
          <w:tab w:val="clear" w:pos="227"/>
          <w:tab w:val="clear" w:pos="454"/>
          <w:tab w:val="clear" w:pos="680"/>
          <w:tab w:val="clear" w:pos="907"/>
          <w:tab w:val="clear" w:pos="1260"/>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num" w:pos="360"/>
        </w:tabs>
        <w:spacing w:after="0"/>
        <w:ind w:left="360"/>
        <w:jc w:val="both"/>
        <w:rPr>
          <w:lang w:val="el-GR"/>
        </w:rPr>
      </w:pPr>
      <w:r>
        <w:rPr>
          <w:lang w:val="el-GR"/>
        </w:rPr>
        <w:t>Κοινοπρακτική μίσθωση (syndicated leasing).</w:t>
      </w:r>
    </w:p>
    <w:p w:rsidR="004B417C" w:rsidRDefault="004B417C" w:rsidP="00AC2D11">
      <w:pPr>
        <w:pStyle w:val="BodyText"/>
        <w:numPr>
          <w:ilvl w:val="0"/>
          <w:numId w:val="25"/>
        </w:numPr>
        <w:tabs>
          <w:tab w:val="clear" w:pos="227"/>
          <w:tab w:val="clear" w:pos="454"/>
          <w:tab w:val="clear" w:pos="680"/>
          <w:tab w:val="clear" w:pos="907"/>
          <w:tab w:val="clear" w:pos="1260"/>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num" w:pos="360"/>
        </w:tabs>
        <w:spacing w:after="0"/>
        <w:ind w:left="360"/>
        <w:jc w:val="both"/>
        <w:rPr>
          <w:lang w:val="el-GR"/>
        </w:rPr>
      </w:pPr>
      <w:r>
        <w:rPr>
          <w:lang w:val="el-GR"/>
        </w:rPr>
        <w:t>Leasing Ακινήτων.</w:t>
      </w:r>
    </w:p>
    <w:p w:rsidR="004B417C" w:rsidRPr="00886B9A" w:rsidRDefault="004B417C" w:rsidP="008D4BD0">
      <w:pPr>
        <w:pStyle w:val="BodyText"/>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after="0"/>
        <w:jc w:val="both"/>
        <w:rPr>
          <w:lang w:val="el-GR"/>
        </w:rPr>
      </w:pPr>
    </w:p>
    <w:p w:rsidR="004B417C" w:rsidRPr="000255A6" w:rsidRDefault="004B417C" w:rsidP="008D4BD0">
      <w:pPr>
        <w:pStyle w:val="BodyText"/>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after="0"/>
        <w:jc w:val="both"/>
        <w:rPr>
          <w:szCs w:val="22"/>
          <w:lang w:val="el-GR"/>
        </w:rPr>
      </w:pPr>
      <w:r w:rsidRPr="000255A6">
        <w:rPr>
          <w:szCs w:val="22"/>
          <w:lang w:val="el-GR"/>
        </w:rPr>
        <w:t>Τα οικονομικά στοιχεία της Εταιρείας περιλαμβάνονται με τη μέθοδο της ολικής ενοποίησης στις ενοποιημέ</w:t>
      </w:r>
      <w:r>
        <w:rPr>
          <w:szCs w:val="22"/>
          <w:lang w:val="el-GR"/>
        </w:rPr>
        <w:t xml:space="preserve">νες οικονομικές καταστάσεις του </w:t>
      </w:r>
      <w:r w:rsidRPr="000255A6">
        <w:rPr>
          <w:szCs w:val="22"/>
          <w:lang w:val="el-GR"/>
        </w:rPr>
        <w:t>Ομίλου</w:t>
      </w:r>
      <w:r>
        <w:rPr>
          <w:szCs w:val="22"/>
          <w:lang w:val="el-GR"/>
        </w:rPr>
        <w:t xml:space="preserve"> </w:t>
      </w:r>
      <w:r w:rsidRPr="000255A6">
        <w:rPr>
          <w:szCs w:val="22"/>
          <w:lang w:val="el-GR"/>
        </w:rPr>
        <w:t>υπό εκκαθάριση της Αγροτικής Τράπεζας («ΑΤΕ») η οποία κατέχει το 100% του μετοχικού κεφαλαίου.</w:t>
      </w:r>
    </w:p>
    <w:p w:rsidR="004B417C" w:rsidRPr="000255A6" w:rsidRDefault="004B417C" w:rsidP="008D4BD0">
      <w:pPr>
        <w:pStyle w:val="BodyText"/>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after="0"/>
        <w:jc w:val="both"/>
        <w:rPr>
          <w:szCs w:val="22"/>
          <w:lang w:val="el-GR"/>
        </w:rPr>
      </w:pPr>
    </w:p>
    <w:p w:rsidR="004B417C" w:rsidRPr="000255A6" w:rsidRDefault="004B417C" w:rsidP="008D4BD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22"/>
          <w:lang w:val="el-GR"/>
        </w:rPr>
      </w:pPr>
      <w:r w:rsidRPr="000255A6">
        <w:rPr>
          <w:szCs w:val="22"/>
          <w:lang w:val="el-GR"/>
        </w:rPr>
        <w:t xml:space="preserve">Στις 27 Ιουλίου 2012, η Επιτροπή Πιστωτικών και Ασφαλιστικών Θεμάτων της Τράπεζας της Ελλάδος («ΤτΕ») με την απόφαση 46/1/27.7.12 ανακάλεσε την άδεια λειτουργίας και έθεσε σε καθεστώς ειδικής εκκαθάρισης την ΑΤΕ, στην κεφαλαιακή και χρηματοδοτική στήριξη της οποίας βασιζόταν η Εταιρεία. </w:t>
      </w:r>
    </w:p>
    <w:p w:rsidR="004B417C" w:rsidRPr="000255A6" w:rsidRDefault="004B417C" w:rsidP="008D4BD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22"/>
          <w:lang w:val="el-GR"/>
        </w:rPr>
      </w:pPr>
      <w:r w:rsidRPr="000255A6">
        <w:rPr>
          <w:szCs w:val="22"/>
          <w:lang w:val="el-GR"/>
        </w:rPr>
        <w:t xml:space="preserve"> </w:t>
      </w:r>
    </w:p>
    <w:p w:rsidR="004B417C" w:rsidRPr="000255A6" w:rsidRDefault="004B417C" w:rsidP="008D4BD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22"/>
          <w:lang w:val="el-GR"/>
        </w:rPr>
      </w:pPr>
      <w:r w:rsidRPr="000255A6">
        <w:rPr>
          <w:szCs w:val="22"/>
          <w:lang w:val="el-GR"/>
        </w:rPr>
        <w:t>Επιπλέον, σύμφωνα με απόφαση της Επιτροπής Μέτρων Εξυγίανσης της ΤτΕ (ΦΕΚ 2209/27.07.12) αναφορικά με τη μεταβίβαση περιουσιακών στοιχείων της ΑΤΕ στην Τράπεζα Πειραιώς Α.Ε, η ΑΤΕ διατηρεί όλα τα δικαιώματα, ενοχικά και εμπράγματα, επί των μετοχών της Εταιρείας.</w:t>
      </w:r>
    </w:p>
    <w:p w:rsidR="004B417C" w:rsidRPr="000255A6" w:rsidRDefault="004B417C" w:rsidP="008D4BD0">
      <w:pPr>
        <w:spacing w:before="120" w:after="120"/>
        <w:jc w:val="both"/>
        <w:rPr>
          <w:rFonts w:eastAsia="Arial Unicode MS"/>
          <w:szCs w:val="22"/>
          <w:lang w:val="el-GR"/>
        </w:rPr>
      </w:pPr>
      <w:r w:rsidRPr="004F7276">
        <w:rPr>
          <w:rFonts w:eastAsia="Arial Unicode MS"/>
          <w:szCs w:val="22"/>
          <w:lang w:val="el-GR"/>
        </w:rPr>
        <w:t xml:space="preserve">Οι οικονομικές καταστάσεις </w:t>
      </w:r>
      <w:r w:rsidRPr="004F7276">
        <w:rPr>
          <w:szCs w:val="22"/>
          <w:lang w:val="el-GR"/>
        </w:rPr>
        <w:t xml:space="preserve">της Εταιρείας </w:t>
      </w:r>
      <w:r w:rsidRPr="004F7276">
        <w:rPr>
          <w:rFonts w:eastAsia="Arial Unicode MS"/>
          <w:szCs w:val="22"/>
          <w:lang w:val="el-GR"/>
        </w:rPr>
        <w:t>εγκρίθηκαν από το Διοικητικό Συμβούλιο στις 26 Απριλίου 2013.</w:t>
      </w:r>
    </w:p>
    <w:p w:rsidR="004B417C" w:rsidRPr="00C95316" w:rsidRDefault="004B417C" w:rsidP="008D4BD0">
      <w:pPr>
        <w:pStyle w:val="BodyText"/>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after="0"/>
        <w:jc w:val="both"/>
        <w:rPr>
          <w:lang w:val="el-GR"/>
        </w:rPr>
      </w:pPr>
    </w:p>
    <w:p w:rsidR="004B417C" w:rsidRDefault="004B417C" w:rsidP="00CC12F8">
      <w:pPr>
        <w:pStyle w:val="BodyText"/>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after="0"/>
        <w:rPr>
          <w:lang w:val="el-GR"/>
        </w:rPr>
      </w:pPr>
    </w:p>
    <w:tbl>
      <w:tblPr>
        <w:tblW w:w="7920" w:type="dxa"/>
        <w:tblInd w:w="108" w:type="dxa"/>
        <w:tblLayout w:type="fixed"/>
        <w:tblLook w:val="0000"/>
      </w:tblPr>
      <w:tblGrid>
        <w:gridCol w:w="3402"/>
        <w:gridCol w:w="4518"/>
      </w:tblGrid>
      <w:tr w:rsidR="004B417C" w:rsidRPr="00BD73D4">
        <w:tc>
          <w:tcPr>
            <w:tcW w:w="3402" w:type="dxa"/>
            <w:vAlign w:val="center"/>
          </w:tcPr>
          <w:p w:rsidR="004B417C" w:rsidRPr="004B5AD7" w:rsidRDefault="004B417C" w:rsidP="00175321">
            <w:pPr>
              <w:pStyle w:val="Header"/>
              <w:rPr>
                <w:b/>
                <w:szCs w:val="22"/>
                <w:lang w:val="el-GR"/>
              </w:rPr>
            </w:pPr>
            <w:bookmarkStart w:id="5" w:name="_Toc117926477"/>
            <w:bookmarkStart w:id="6" w:name="_Toc128477808"/>
            <w:r w:rsidRPr="004B5AD7">
              <w:rPr>
                <w:b/>
                <w:szCs w:val="22"/>
                <w:lang w:val="el-GR"/>
              </w:rPr>
              <w:t>Διοικητικό Συμβούλιο:</w:t>
            </w:r>
          </w:p>
        </w:tc>
        <w:tc>
          <w:tcPr>
            <w:tcW w:w="4518" w:type="dxa"/>
            <w:vAlign w:val="center"/>
          </w:tcPr>
          <w:p w:rsidR="004B417C" w:rsidRDefault="004B417C" w:rsidP="00940301">
            <w:pPr>
              <w:ind w:left="418"/>
              <w:rPr>
                <w:szCs w:val="22"/>
                <w:lang w:val="el-GR"/>
              </w:rPr>
            </w:pPr>
            <w:r>
              <w:rPr>
                <w:szCs w:val="22"/>
                <w:lang w:val="el-GR"/>
              </w:rPr>
              <w:t>Το Δ.Σ. της εταιρείας  από 01/01/201</w:t>
            </w:r>
            <w:r w:rsidRPr="00FC32EA">
              <w:rPr>
                <w:szCs w:val="22"/>
                <w:lang w:val="el-GR"/>
              </w:rPr>
              <w:t>2</w:t>
            </w:r>
            <w:r>
              <w:rPr>
                <w:szCs w:val="22"/>
                <w:lang w:val="el-GR"/>
              </w:rPr>
              <w:t xml:space="preserve"> έως 27/08/201</w:t>
            </w:r>
            <w:r w:rsidRPr="00FC32EA">
              <w:rPr>
                <w:szCs w:val="22"/>
                <w:lang w:val="el-GR"/>
              </w:rPr>
              <w:t>2</w:t>
            </w:r>
            <w:r>
              <w:rPr>
                <w:szCs w:val="22"/>
                <w:lang w:val="el-GR"/>
              </w:rPr>
              <w:t xml:space="preserve"> απαρτιζόταν από τους εξής:</w:t>
            </w:r>
          </w:p>
        </w:tc>
      </w:tr>
      <w:tr w:rsidR="004B417C">
        <w:tblPrEx>
          <w:tblBorders>
            <w:top w:val="single" w:sz="6" w:space="0" w:color="auto"/>
            <w:bottom w:val="single" w:sz="6" w:space="0" w:color="auto"/>
            <w:insideH w:val="single" w:sz="6" w:space="0" w:color="auto"/>
          </w:tblBorders>
        </w:tblPrEx>
        <w:tc>
          <w:tcPr>
            <w:tcW w:w="3402" w:type="dxa"/>
            <w:tcBorders>
              <w:bottom w:val="single" w:sz="4" w:space="0" w:color="auto"/>
            </w:tcBorders>
            <w:vAlign w:val="center"/>
          </w:tcPr>
          <w:p w:rsidR="004B417C" w:rsidRPr="004B5AD7" w:rsidRDefault="004B417C" w:rsidP="00175321">
            <w:pPr>
              <w:pStyle w:val="Header"/>
              <w:rPr>
                <w:szCs w:val="22"/>
                <w:lang w:val="el-GR"/>
              </w:rPr>
            </w:pPr>
            <w:r w:rsidRPr="004B5AD7">
              <w:rPr>
                <w:szCs w:val="22"/>
                <w:lang w:val="el-GR"/>
              </w:rPr>
              <w:t>Ονοματεπώνυμο</w:t>
            </w:r>
          </w:p>
        </w:tc>
        <w:tc>
          <w:tcPr>
            <w:tcW w:w="4518" w:type="dxa"/>
            <w:tcBorders>
              <w:bottom w:val="single" w:sz="4" w:space="0" w:color="auto"/>
            </w:tcBorders>
            <w:vAlign w:val="center"/>
          </w:tcPr>
          <w:p w:rsidR="004B417C" w:rsidRPr="004B5AD7" w:rsidRDefault="004B417C" w:rsidP="00175321">
            <w:pPr>
              <w:ind w:left="418"/>
              <w:rPr>
                <w:b/>
                <w:szCs w:val="22"/>
                <w:lang w:val="el-GR"/>
              </w:rPr>
            </w:pPr>
            <w:r>
              <w:rPr>
                <w:b/>
                <w:szCs w:val="22"/>
                <w:lang w:val="el-GR"/>
              </w:rPr>
              <w:t xml:space="preserve">                        </w:t>
            </w:r>
            <w:r w:rsidRPr="004B5AD7">
              <w:rPr>
                <w:b/>
                <w:szCs w:val="22"/>
                <w:lang w:val="el-GR"/>
              </w:rPr>
              <w:t>Αξίωμα</w:t>
            </w:r>
          </w:p>
        </w:tc>
      </w:tr>
      <w:tr w:rsidR="004B417C" w:rsidRPr="00BD73D4">
        <w:tblPrEx>
          <w:tblBorders>
            <w:top w:val="single" w:sz="6" w:space="0" w:color="auto"/>
            <w:bottom w:val="single" w:sz="6" w:space="0" w:color="auto"/>
            <w:insideH w:val="single" w:sz="6" w:space="0" w:color="auto"/>
          </w:tblBorders>
        </w:tblPrEx>
        <w:tc>
          <w:tcPr>
            <w:tcW w:w="3402" w:type="dxa"/>
            <w:tcBorders>
              <w:top w:val="single" w:sz="4" w:space="0" w:color="auto"/>
              <w:bottom w:val="nil"/>
            </w:tcBorders>
            <w:vAlign w:val="center"/>
          </w:tcPr>
          <w:p w:rsidR="004B417C" w:rsidRPr="004B5AD7" w:rsidRDefault="004B417C" w:rsidP="00175321">
            <w:pPr>
              <w:pStyle w:val="Header"/>
              <w:rPr>
                <w:szCs w:val="22"/>
                <w:lang w:val="el-GR"/>
              </w:rPr>
            </w:pPr>
            <w:r>
              <w:rPr>
                <w:szCs w:val="22"/>
                <w:lang w:val="el-GR"/>
              </w:rPr>
              <w:t>Πανταλάκης Θεόδωρος</w:t>
            </w:r>
          </w:p>
        </w:tc>
        <w:tc>
          <w:tcPr>
            <w:tcW w:w="4518" w:type="dxa"/>
            <w:tcBorders>
              <w:top w:val="single" w:sz="4" w:space="0" w:color="auto"/>
              <w:bottom w:val="nil"/>
            </w:tcBorders>
            <w:vAlign w:val="center"/>
          </w:tcPr>
          <w:p w:rsidR="004B417C" w:rsidRPr="008E07E6" w:rsidRDefault="004B417C" w:rsidP="00175321">
            <w:pPr>
              <w:rPr>
                <w:szCs w:val="22"/>
                <w:lang w:val="el-GR"/>
              </w:rPr>
            </w:pPr>
            <w:r>
              <w:rPr>
                <w:szCs w:val="22"/>
                <w:lang w:val="el-GR"/>
              </w:rPr>
              <w:t xml:space="preserve">        </w:t>
            </w:r>
            <w:r w:rsidRPr="004B5AD7">
              <w:rPr>
                <w:szCs w:val="22"/>
                <w:lang w:val="el-GR"/>
              </w:rPr>
              <w:t>Πρόεδρος</w:t>
            </w:r>
            <w:r w:rsidRPr="008E07E6">
              <w:rPr>
                <w:szCs w:val="22"/>
                <w:lang w:val="el-GR"/>
              </w:rPr>
              <w:t xml:space="preserve"> </w:t>
            </w:r>
            <w:r>
              <w:rPr>
                <w:szCs w:val="22"/>
                <w:lang w:val="el-GR"/>
              </w:rPr>
              <w:t xml:space="preserve">Δ.Σ- Μη εκτελεστικό μέλος </w:t>
            </w:r>
          </w:p>
        </w:tc>
      </w:tr>
      <w:tr w:rsidR="004B417C" w:rsidRPr="00BD73D4">
        <w:tblPrEx>
          <w:tblBorders>
            <w:top w:val="single" w:sz="6" w:space="0" w:color="auto"/>
            <w:bottom w:val="single" w:sz="6" w:space="0" w:color="auto"/>
            <w:insideH w:val="single" w:sz="6" w:space="0" w:color="auto"/>
          </w:tblBorders>
        </w:tblPrEx>
        <w:tc>
          <w:tcPr>
            <w:tcW w:w="3402" w:type="dxa"/>
            <w:tcBorders>
              <w:top w:val="nil"/>
              <w:bottom w:val="nil"/>
            </w:tcBorders>
            <w:vAlign w:val="center"/>
          </w:tcPr>
          <w:p w:rsidR="004B417C" w:rsidRPr="004B5AD7" w:rsidRDefault="004B417C" w:rsidP="00175321">
            <w:pPr>
              <w:pStyle w:val="Header"/>
              <w:rPr>
                <w:szCs w:val="22"/>
                <w:lang w:val="el-GR"/>
              </w:rPr>
            </w:pPr>
            <w:r>
              <w:rPr>
                <w:szCs w:val="22"/>
                <w:lang w:val="el-GR"/>
              </w:rPr>
              <w:t>Καζαζάκης Σταύρος</w:t>
            </w:r>
          </w:p>
        </w:tc>
        <w:tc>
          <w:tcPr>
            <w:tcW w:w="4518" w:type="dxa"/>
            <w:tcBorders>
              <w:top w:val="nil"/>
              <w:bottom w:val="nil"/>
            </w:tcBorders>
            <w:vAlign w:val="center"/>
          </w:tcPr>
          <w:p w:rsidR="004B417C" w:rsidRPr="004B5AD7" w:rsidRDefault="004B417C" w:rsidP="00175321">
            <w:pPr>
              <w:ind w:left="418"/>
              <w:rPr>
                <w:szCs w:val="22"/>
                <w:lang w:val="el-GR"/>
              </w:rPr>
            </w:pPr>
            <w:r>
              <w:rPr>
                <w:szCs w:val="22"/>
                <w:lang w:val="el-GR"/>
              </w:rPr>
              <w:t>Αντιπρόεδρος Δ.Σ- Μη εκτελεστικό μέλος</w:t>
            </w:r>
          </w:p>
        </w:tc>
      </w:tr>
      <w:tr w:rsidR="004B417C" w:rsidRPr="00BD73D4">
        <w:tblPrEx>
          <w:tblBorders>
            <w:top w:val="single" w:sz="6" w:space="0" w:color="auto"/>
            <w:bottom w:val="single" w:sz="6" w:space="0" w:color="auto"/>
            <w:insideH w:val="single" w:sz="6" w:space="0" w:color="auto"/>
          </w:tblBorders>
        </w:tblPrEx>
        <w:tc>
          <w:tcPr>
            <w:tcW w:w="3402" w:type="dxa"/>
            <w:tcBorders>
              <w:top w:val="nil"/>
              <w:bottom w:val="nil"/>
            </w:tcBorders>
            <w:vAlign w:val="center"/>
          </w:tcPr>
          <w:p w:rsidR="004B417C" w:rsidRDefault="004B417C" w:rsidP="00175321">
            <w:pPr>
              <w:pStyle w:val="Header"/>
              <w:rPr>
                <w:szCs w:val="22"/>
                <w:lang w:val="el-GR"/>
              </w:rPr>
            </w:pPr>
            <w:r>
              <w:rPr>
                <w:szCs w:val="22"/>
                <w:lang w:val="el-GR"/>
              </w:rPr>
              <w:t>Δραμουντάνης Εμμανουήλ</w:t>
            </w:r>
          </w:p>
          <w:p w:rsidR="004B417C" w:rsidRPr="004B5AD7" w:rsidRDefault="004B417C" w:rsidP="00175321">
            <w:pPr>
              <w:pStyle w:val="Header"/>
              <w:rPr>
                <w:szCs w:val="22"/>
                <w:lang w:val="el-GR"/>
              </w:rPr>
            </w:pPr>
            <w:r>
              <w:rPr>
                <w:szCs w:val="22"/>
                <w:lang w:val="el-GR"/>
              </w:rPr>
              <w:t>Μπέτσης Ηλίας</w:t>
            </w:r>
          </w:p>
        </w:tc>
        <w:tc>
          <w:tcPr>
            <w:tcW w:w="4518" w:type="dxa"/>
            <w:tcBorders>
              <w:top w:val="nil"/>
              <w:bottom w:val="nil"/>
            </w:tcBorders>
            <w:vAlign w:val="center"/>
          </w:tcPr>
          <w:p w:rsidR="004B417C" w:rsidRDefault="004B417C" w:rsidP="00175321">
            <w:pPr>
              <w:ind w:left="418"/>
              <w:rPr>
                <w:szCs w:val="22"/>
                <w:lang w:val="el-GR"/>
              </w:rPr>
            </w:pPr>
            <w:r>
              <w:rPr>
                <w:szCs w:val="22"/>
                <w:lang w:val="el-GR"/>
              </w:rPr>
              <w:t>Μη εκτελεστικό μέλος (έως 16/02/2012)</w:t>
            </w:r>
          </w:p>
          <w:p w:rsidR="004B417C" w:rsidRPr="004B5AD7" w:rsidRDefault="004B417C" w:rsidP="00175321">
            <w:pPr>
              <w:ind w:left="418"/>
              <w:rPr>
                <w:szCs w:val="22"/>
                <w:lang w:val="el-GR"/>
              </w:rPr>
            </w:pPr>
            <w:r>
              <w:rPr>
                <w:szCs w:val="22"/>
                <w:lang w:val="el-GR"/>
              </w:rPr>
              <w:t>Μη εκτελεστικό μέλος (από 16/02/2012)</w:t>
            </w:r>
          </w:p>
        </w:tc>
      </w:tr>
      <w:tr w:rsidR="004B417C">
        <w:tblPrEx>
          <w:tblBorders>
            <w:top w:val="single" w:sz="6" w:space="0" w:color="auto"/>
            <w:bottom w:val="single" w:sz="6" w:space="0" w:color="auto"/>
            <w:insideH w:val="single" w:sz="6" w:space="0" w:color="auto"/>
          </w:tblBorders>
        </w:tblPrEx>
        <w:tc>
          <w:tcPr>
            <w:tcW w:w="3402" w:type="dxa"/>
            <w:tcBorders>
              <w:top w:val="nil"/>
              <w:bottom w:val="nil"/>
            </w:tcBorders>
            <w:vAlign w:val="center"/>
          </w:tcPr>
          <w:p w:rsidR="004B417C" w:rsidRPr="004B5AD7" w:rsidRDefault="004B417C" w:rsidP="00175321">
            <w:pPr>
              <w:pStyle w:val="Header"/>
              <w:rPr>
                <w:szCs w:val="22"/>
                <w:lang w:val="el-GR"/>
              </w:rPr>
            </w:pPr>
            <w:r>
              <w:rPr>
                <w:szCs w:val="22"/>
                <w:lang w:val="el-GR"/>
              </w:rPr>
              <w:t>Παραδείσης Πέτρος</w:t>
            </w:r>
          </w:p>
        </w:tc>
        <w:tc>
          <w:tcPr>
            <w:tcW w:w="4518" w:type="dxa"/>
            <w:tcBorders>
              <w:top w:val="nil"/>
              <w:bottom w:val="nil"/>
            </w:tcBorders>
            <w:vAlign w:val="center"/>
          </w:tcPr>
          <w:p w:rsidR="004B417C" w:rsidRPr="004B5AD7" w:rsidRDefault="004B417C" w:rsidP="00175321">
            <w:pPr>
              <w:ind w:left="418"/>
              <w:rPr>
                <w:szCs w:val="22"/>
                <w:lang w:val="el-GR"/>
              </w:rPr>
            </w:pPr>
            <w:r>
              <w:rPr>
                <w:szCs w:val="22"/>
                <w:lang w:val="el-GR"/>
              </w:rPr>
              <w:t>Διευθύνων Σύμβουλος-Εκτελεστικό μέλος</w:t>
            </w:r>
          </w:p>
        </w:tc>
      </w:tr>
      <w:tr w:rsidR="004B417C">
        <w:tblPrEx>
          <w:tblBorders>
            <w:top w:val="single" w:sz="6" w:space="0" w:color="auto"/>
            <w:bottom w:val="single" w:sz="6" w:space="0" w:color="auto"/>
            <w:insideH w:val="single" w:sz="6" w:space="0" w:color="auto"/>
          </w:tblBorders>
        </w:tblPrEx>
        <w:tc>
          <w:tcPr>
            <w:tcW w:w="3402" w:type="dxa"/>
            <w:tcBorders>
              <w:top w:val="nil"/>
              <w:bottom w:val="nil"/>
            </w:tcBorders>
            <w:vAlign w:val="center"/>
          </w:tcPr>
          <w:p w:rsidR="004B417C" w:rsidRPr="004B5AD7" w:rsidRDefault="004B417C" w:rsidP="00175321">
            <w:pPr>
              <w:pStyle w:val="Header"/>
              <w:rPr>
                <w:szCs w:val="22"/>
                <w:lang w:val="el-GR"/>
              </w:rPr>
            </w:pPr>
            <w:r>
              <w:rPr>
                <w:szCs w:val="22"/>
                <w:lang w:val="el-GR"/>
              </w:rPr>
              <w:t>Αργύρη Αγγελική</w:t>
            </w:r>
          </w:p>
        </w:tc>
        <w:tc>
          <w:tcPr>
            <w:tcW w:w="4518" w:type="dxa"/>
            <w:tcBorders>
              <w:top w:val="nil"/>
              <w:bottom w:val="nil"/>
            </w:tcBorders>
            <w:vAlign w:val="center"/>
          </w:tcPr>
          <w:p w:rsidR="004B417C" w:rsidRPr="004B5AD7" w:rsidRDefault="004B417C" w:rsidP="00175321">
            <w:pPr>
              <w:ind w:left="418"/>
              <w:rPr>
                <w:szCs w:val="22"/>
                <w:lang w:val="el-GR"/>
              </w:rPr>
            </w:pPr>
            <w:r>
              <w:rPr>
                <w:szCs w:val="22"/>
                <w:lang w:val="el-GR"/>
              </w:rPr>
              <w:t xml:space="preserve">Μη εκτελεστικό μέλος </w:t>
            </w:r>
          </w:p>
        </w:tc>
      </w:tr>
      <w:tr w:rsidR="004B417C">
        <w:tblPrEx>
          <w:tblBorders>
            <w:top w:val="single" w:sz="6" w:space="0" w:color="auto"/>
            <w:bottom w:val="single" w:sz="6" w:space="0" w:color="auto"/>
            <w:insideH w:val="single" w:sz="6" w:space="0" w:color="auto"/>
          </w:tblBorders>
        </w:tblPrEx>
        <w:tc>
          <w:tcPr>
            <w:tcW w:w="3402" w:type="dxa"/>
            <w:tcBorders>
              <w:top w:val="nil"/>
              <w:bottom w:val="nil"/>
            </w:tcBorders>
            <w:vAlign w:val="center"/>
          </w:tcPr>
          <w:p w:rsidR="004B417C" w:rsidRPr="004B5AD7" w:rsidRDefault="004B417C" w:rsidP="00175321">
            <w:pPr>
              <w:pStyle w:val="Header"/>
              <w:rPr>
                <w:szCs w:val="22"/>
                <w:lang w:val="el-GR"/>
              </w:rPr>
            </w:pPr>
            <w:r>
              <w:rPr>
                <w:szCs w:val="22"/>
                <w:lang w:val="el-GR"/>
              </w:rPr>
              <w:t>Καράμπελας Αγησίλαος</w:t>
            </w:r>
          </w:p>
        </w:tc>
        <w:tc>
          <w:tcPr>
            <w:tcW w:w="4518" w:type="dxa"/>
            <w:tcBorders>
              <w:top w:val="nil"/>
              <w:bottom w:val="nil"/>
            </w:tcBorders>
            <w:vAlign w:val="center"/>
          </w:tcPr>
          <w:p w:rsidR="004B417C" w:rsidRPr="004B5AD7" w:rsidRDefault="004B417C" w:rsidP="00175321">
            <w:pPr>
              <w:ind w:left="418"/>
              <w:rPr>
                <w:szCs w:val="22"/>
                <w:lang w:val="el-GR"/>
              </w:rPr>
            </w:pPr>
            <w:r>
              <w:rPr>
                <w:szCs w:val="22"/>
                <w:lang w:val="el-GR"/>
              </w:rPr>
              <w:t>Μη εκτελεστικό μέλος</w:t>
            </w:r>
          </w:p>
        </w:tc>
      </w:tr>
      <w:tr w:rsidR="004B417C">
        <w:tblPrEx>
          <w:tblBorders>
            <w:top w:val="single" w:sz="6" w:space="0" w:color="auto"/>
            <w:bottom w:val="single" w:sz="6" w:space="0" w:color="auto"/>
            <w:insideH w:val="single" w:sz="6" w:space="0" w:color="auto"/>
          </w:tblBorders>
        </w:tblPrEx>
        <w:tc>
          <w:tcPr>
            <w:tcW w:w="3402" w:type="dxa"/>
            <w:tcBorders>
              <w:top w:val="nil"/>
              <w:bottom w:val="nil"/>
            </w:tcBorders>
            <w:vAlign w:val="center"/>
          </w:tcPr>
          <w:p w:rsidR="004B417C" w:rsidRPr="004B5AD7" w:rsidRDefault="004B417C" w:rsidP="00175321">
            <w:pPr>
              <w:pStyle w:val="Header"/>
              <w:tabs>
                <w:tab w:val="clear" w:pos="4536"/>
                <w:tab w:val="clear" w:pos="9072"/>
              </w:tabs>
              <w:rPr>
                <w:szCs w:val="22"/>
                <w:lang w:val="el-GR"/>
              </w:rPr>
            </w:pPr>
            <w:r>
              <w:rPr>
                <w:szCs w:val="22"/>
                <w:lang w:val="el-GR"/>
              </w:rPr>
              <w:t>Χορταριάς Ηρακλής</w:t>
            </w:r>
          </w:p>
        </w:tc>
        <w:tc>
          <w:tcPr>
            <w:tcW w:w="4518" w:type="dxa"/>
            <w:tcBorders>
              <w:top w:val="nil"/>
              <w:bottom w:val="nil"/>
            </w:tcBorders>
            <w:vAlign w:val="center"/>
          </w:tcPr>
          <w:p w:rsidR="004B417C" w:rsidRPr="004B5AD7" w:rsidRDefault="004B417C" w:rsidP="00175321">
            <w:pPr>
              <w:ind w:left="418"/>
              <w:rPr>
                <w:szCs w:val="22"/>
                <w:lang w:val="el-GR"/>
              </w:rPr>
            </w:pPr>
            <w:r>
              <w:rPr>
                <w:szCs w:val="22"/>
                <w:lang w:val="el-GR"/>
              </w:rPr>
              <w:t>Μη εκτελεστικό μέλος</w:t>
            </w:r>
          </w:p>
        </w:tc>
      </w:tr>
    </w:tbl>
    <w:p w:rsidR="004B417C" w:rsidRDefault="004B417C" w:rsidP="00CC12F8">
      <w:pPr>
        <w:tabs>
          <w:tab w:val="clear" w:pos="227"/>
          <w:tab w:val="clear" w:pos="454"/>
          <w:tab w:val="clear" w:pos="680"/>
          <w:tab w:val="left" w:pos="720"/>
        </w:tabs>
        <w:autoSpaceDE w:val="0"/>
        <w:autoSpaceDN w:val="0"/>
        <w:adjustRightInd w:val="0"/>
        <w:spacing w:line="240" w:lineRule="auto"/>
        <w:ind w:right="360"/>
        <w:rPr>
          <w:lang w:val="el-GR"/>
        </w:rPr>
      </w:pPr>
    </w:p>
    <w:p w:rsidR="004B417C" w:rsidRDefault="004B417C" w:rsidP="00913F06">
      <w:pPr>
        <w:tabs>
          <w:tab w:val="clear" w:pos="227"/>
          <w:tab w:val="clear" w:pos="454"/>
          <w:tab w:val="clear" w:pos="680"/>
          <w:tab w:val="left" w:pos="720"/>
        </w:tabs>
        <w:autoSpaceDE w:val="0"/>
        <w:autoSpaceDN w:val="0"/>
        <w:adjustRightInd w:val="0"/>
        <w:spacing w:line="240" w:lineRule="auto"/>
        <w:ind w:right="360"/>
        <w:jc w:val="both"/>
        <w:rPr>
          <w:lang w:val="el-GR"/>
        </w:rPr>
      </w:pPr>
    </w:p>
    <w:p w:rsidR="004B417C" w:rsidRDefault="004B417C" w:rsidP="00913F06">
      <w:pPr>
        <w:tabs>
          <w:tab w:val="clear" w:pos="227"/>
          <w:tab w:val="clear" w:pos="454"/>
          <w:tab w:val="clear" w:pos="680"/>
          <w:tab w:val="left" w:pos="720"/>
        </w:tabs>
        <w:autoSpaceDE w:val="0"/>
        <w:autoSpaceDN w:val="0"/>
        <w:adjustRightInd w:val="0"/>
        <w:spacing w:line="240" w:lineRule="auto"/>
        <w:ind w:right="360"/>
        <w:jc w:val="both"/>
        <w:rPr>
          <w:lang w:val="el-GR"/>
        </w:rPr>
      </w:pPr>
    </w:p>
    <w:p w:rsidR="004B417C" w:rsidRDefault="004B417C" w:rsidP="00913F06">
      <w:pPr>
        <w:tabs>
          <w:tab w:val="clear" w:pos="227"/>
          <w:tab w:val="clear" w:pos="454"/>
          <w:tab w:val="clear" w:pos="680"/>
          <w:tab w:val="left" w:pos="720"/>
        </w:tabs>
        <w:autoSpaceDE w:val="0"/>
        <w:autoSpaceDN w:val="0"/>
        <w:adjustRightInd w:val="0"/>
        <w:spacing w:line="240" w:lineRule="auto"/>
        <w:ind w:right="360"/>
        <w:jc w:val="both"/>
        <w:rPr>
          <w:lang w:val="el-GR"/>
        </w:rPr>
      </w:pPr>
    </w:p>
    <w:p w:rsidR="004B417C" w:rsidRPr="00D7664A" w:rsidRDefault="004B417C" w:rsidP="00913F06">
      <w:pPr>
        <w:tabs>
          <w:tab w:val="clear" w:pos="227"/>
          <w:tab w:val="clear" w:pos="454"/>
          <w:tab w:val="clear" w:pos="680"/>
          <w:tab w:val="left" w:pos="720"/>
        </w:tabs>
        <w:autoSpaceDE w:val="0"/>
        <w:autoSpaceDN w:val="0"/>
        <w:adjustRightInd w:val="0"/>
        <w:spacing w:line="240" w:lineRule="auto"/>
        <w:ind w:right="360"/>
        <w:jc w:val="both"/>
        <w:rPr>
          <w:lang w:val="el-GR"/>
        </w:rPr>
      </w:pPr>
    </w:p>
    <w:tbl>
      <w:tblPr>
        <w:tblW w:w="7920" w:type="dxa"/>
        <w:tblInd w:w="108" w:type="dxa"/>
        <w:tblLayout w:type="fixed"/>
        <w:tblLook w:val="0000"/>
      </w:tblPr>
      <w:tblGrid>
        <w:gridCol w:w="3402"/>
        <w:gridCol w:w="4518"/>
      </w:tblGrid>
      <w:tr w:rsidR="004B417C" w:rsidRPr="00BD73D4" w:rsidTr="00AF08B0">
        <w:tc>
          <w:tcPr>
            <w:tcW w:w="3402" w:type="dxa"/>
            <w:vAlign w:val="center"/>
          </w:tcPr>
          <w:p w:rsidR="004B417C" w:rsidRPr="004B5AD7" w:rsidRDefault="004B417C" w:rsidP="00AF08B0">
            <w:pPr>
              <w:pStyle w:val="Header"/>
              <w:rPr>
                <w:b/>
                <w:szCs w:val="22"/>
                <w:lang w:val="el-GR"/>
              </w:rPr>
            </w:pPr>
            <w:r w:rsidRPr="004B5AD7">
              <w:rPr>
                <w:b/>
                <w:szCs w:val="22"/>
                <w:lang w:val="el-GR"/>
              </w:rPr>
              <w:lastRenderedPageBreak/>
              <w:t>Διοικητικό Συμβούλιο:</w:t>
            </w:r>
          </w:p>
        </w:tc>
        <w:tc>
          <w:tcPr>
            <w:tcW w:w="4518" w:type="dxa"/>
            <w:vAlign w:val="center"/>
          </w:tcPr>
          <w:p w:rsidR="004B417C" w:rsidRDefault="004B417C" w:rsidP="00AF08B0">
            <w:pPr>
              <w:ind w:left="418"/>
              <w:rPr>
                <w:szCs w:val="22"/>
                <w:lang w:val="el-GR"/>
              </w:rPr>
            </w:pPr>
            <w:r>
              <w:rPr>
                <w:szCs w:val="22"/>
                <w:lang w:val="el-GR"/>
              </w:rPr>
              <w:t xml:space="preserve">Το Δ.Σ. της εταιρείας  από </w:t>
            </w:r>
            <w:r w:rsidRPr="00FC32EA">
              <w:rPr>
                <w:szCs w:val="22"/>
                <w:lang w:val="el-GR"/>
              </w:rPr>
              <w:t>27</w:t>
            </w:r>
            <w:r>
              <w:rPr>
                <w:szCs w:val="22"/>
                <w:lang w:val="el-GR"/>
              </w:rPr>
              <w:t>/0</w:t>
            </w:r>
            <w:r w:rsidRPr="00FC32EA">
              <w:rPr>
                <w:szCs w:val="22"/>
                <w:lang w:val="el-GR"/>
              </w:rPr>
              <w:t>8</w:t>
            </w:r>
            <w:r>
              <w:rPr>
                <w:szCs w:val="22"/>
                <w:lang w:val="el-GR"/>
              </w:rPr>
              <w:t>/201</w:t>
            </w:r>
            <w:r w:rsidRPr="00FC32EA">
              <w:rPr>
                <w:szCs w:val="22"/>
                <w:lang w:val="el-GR"/>
              </w:rPr>
              <w:t>2</w:t>
            </w:r>
            <w:r>
              <w:rPr>
                <w:szCs w:val="22"/>
                <w:lang w:val="el-GR"/>
              </w:rPr>
              <w:t xml:space="preserve"> έως 31/12/2012 απαρτίζεται από τους εξής:</w:t>
            </w:r>
          </w:p>
        </w:tc>
      </w:tr>
      <w:tr w:rsidR="004B417C" w:rsidRPr="004B5AD7" w:rsidTr="00AF08B0">
        <w:tblPrEx>
          <w:tblBorders>
            <w:top w:val="single" w:sz="6" w:space="0" w:color="auto"/>
            <w:bottom w:val="single" w:sz="6" w:space="0" w:color="auto"/>
            <w:insideH w:val="single" w:sz="6" w:space="0" w:color="auto"/>
          </w:tblBorders>
        </w:tblPrEx>
        <w:tc>
          <w:tcPr>
            <w:tcW w:w="3402" w:type="dxa"/>
            <w:tcBorders>
              <w:bottom w:val="single" w:sz="4" w:space="0" w:color="auto"/>
            </w:tcBorders>
            <w:vAlign w:val="center"/>
          </w:tcPr>
          <w:p w:rsidR="004B417C" w:rsidRPr="004B5AD7" w:rsidRDefault="004B417C" w:rsidP="00AF08B0">
            <w:pPr>
              <w:pStyle w:val="Header"/>
              <w:rPr>
                <w:szCs w:val="22"/>
                <w:lang w:val="el-GR"/>
              </w:rPr>
            </w:pPr>
            <w:r w:rsidRPr="004B5AD7">
              <w:rPr>
                <w:szCs w:val="22"/>
                <w:lang w:val="el-GR"/>
              </w:rPr>
              <w:t>Ονοματεπώνυμο</w:t>
            </w:r>
          </w:p>
        </w:tc>
        <w:tc>
          <w:tcPr>
            <w:tcW w:w="4518" w:type="dxa"/>
            <w:tcBorders>
              <w:bottom w:val="single" w:sz="4" w:space="0" w:color="auto"/>
            </w:tcBorders>
            <w:vAlign w:val="center"/>
          </w:tcPr>
          <w:p w:rsidR="004B417C" w:rsidRPr="004B5AD7" w:rsidRDefault="004B417C" w:rsidP="00AF08B0">
            <w:pPr>
              <w:ind w:left="418"/>
              <w:rPr>
                <w:b/>
                <w:szCs w:val="22"/>
                <w:lang w:val="el-GR"/>
              </w:rPr>
            </w:pPr>
            <w:r>
              <w:rPr>
                <w:b/>
                <w:szCs w:val="22"/>
                <w:lang w:val="el-GR"/>
              </w:rPr>
              <w:t xml:space="preserve">                        </w:t>
            </w:r>
            <w:r w:rsidRPr="004B5AD7">
              <w:rPr>
                <w:b/>
                <w:szCs w:val="22"/>
                <w:lang w:val="el-GR"/>
              </w:rPr>
              <w:t>Αξίωμα</w:t>
            </w:r>
          </w:p>
        </w:tc>
      </w:tr>
      <w:tr w:rsidR="004B417C" w:rsidRPr="00BD73D4" w:rsidTr="00AF08B0">
        <w:tblPrEx>
          <w:tblBorders>
            <w:top w:val="single" w:sz="6" w:space="0" w:color="auto"/>
            <w:bottom w:val="single" w:sz="6" w:space="0" w:color="auto"/>
            <w:insideH w:val="single" w:sz="6" w:space="0" w:color="auto"/>
          </w:tblBorders>
        </w:tblPrEx>
        <w:tc>
          <w:tcPr>
            <w:tcW w:w="3402" w:type="dxa"/>
            <w:tcBorders>
              <w:top w:val="single" w:sz="4" w:space="0" w:color="auto"/>
              <w:bottom w:val="nil"/>
            </w:tcBorders>
            <w:vAlign w:val="center"/>
          </w:tcPr>
          <w:p w:rsidR="004B417C" w:rsidRPr="004B5AD7" w:rsidRDefault="004B417C" w:rsidP="00AF08B0">
            <w:pPr>
              <w:pStyle w:val="Header"/>
              <w:rPr>
                <w:szCs w:val="22"/>
                <w:lang w:val="el-GR"/>
              </w:rPr>
            </w:pPr>
            <w:r>
              <w:rPr>
                <w:szCs w:val="22"/>
                <w:lang w:val="el-GR"/>
              </w:rPr>
              <w:t>Μπέτσης Ηλίας</w:t>
            </w:r>
          </w:p>
        </w:tc>
        <w:tc>
          <w:tcPr>
            <w:tcW w:w="4518" w:type="dxa"/>
            <w:tcBorders>
              <w:top w:val="single" w:sz="4" w:space="0" w:color="auto"/>
              <w:bottom w:val="nil"/>
            </w:tcBorders>
            <w:vAlign w:val="center"/>
          </w:tcPr>
          <w:p w:rsidR="004B417C" w:rsidRPr="008E07E6" w:rsidRDefault="004B417C" w:rsidP="00AF08B0">
            <w:pPr>
              <w:rPr>
                <w:szCs w:val="22"/>
                <w:lang w:val="el-GR"/>
              </w:rPr>
            </w:pPr>
            <w:r>
              <w:rPr>
                <w:szCs w:val="22"/>
                <w:lang w:val="el-GR"/>
              </w:rPr>
              <w:t xml:space="preserve">        </w:t>
            </w:r>
            <w:r w:rsidRPr="004B5AD7">
              <w:rPr>
                <w:szCs w:val="22"/>
                <w:lang w:val="el-GR"/>
              </w:rPr>
              <w:t>Πρόεδρος</w:t>
            </w:r>
            <w:r w:rsidRPr="008E07E6">
              <w:rPr>
                <w:szCs w:val="22"/>
                <w:lang w:val="el-GR"/>
              </w:rPr>
              <w:t xml:space="preserve"> </w:t>
            </w:r>
            <w:r>
              <w:rPr>
                <w:szCs w:val="22"/>
                <w:lang w:val="el-GR"/>
              </w:rPr>
              <w:t xml:space="preserve">Δ.Σ- Μη εκτελεστικό μέλος </w:t>
            </w:r>
          </w:p>
        </w:tc>
      </w:tr>
      <w:tr w:rsidR="004B417C" w:rsidRPr="00BD73D4" w:rsidTr="00AF08B0">
        <w:tblPrEx>
          <w:tblBorders>
            <w:top w:val="single" w:sz="6" w:space="0" w:color="auto"/>
            <w:bottom w:val="single" w:sz="6" w:space="0" w:color="auto"/>
            <w:insideH w:val="single" w:sz="6" w:space="0" w:color="auto"/>
          </w:tblBorders>
        </w:tblPrEx>
        <w:tc>
          <w:tcPr>
            <w:tcW w:w="3402" w:type="dxa"/>
            <w:tcBorders>
              <w:top w:val="nil"/>
              <w:bottom w:val="nil"/>
            </w:tcBorders>
            <w:vAlign w:val="center"/>
          </w:tcPr>
          <w:p w:rsidR="004B417C" w:rsidRPr="004B5AD7" w:rsidRDefault="004B417C" w:rsidP="00AF08B0">
            <w:pPr>
              <w:pStyle w:val="Header"/>
              <w:rPr>
                <w:szCs w:val="22"/>
                <w:lang w:val="el-GR"/>
              </w:rPr>
            </w:pPr>
            <w:r>
              <w:rPr>
                <w:szCs w:val="22"/>
                <w:lang w:val="el-GR"/>
              </w:rPr>
              <w:t>Καζαζάκης Σταύρος</w:t>
            </w:r>
          </w:p>
        </w:tc>
        <w:tc>
          <w:tcPr>
            <w:tcW w:w="4518" w:type="dxa"/>
            <w:tcBorders>
              <w:top w:val="nil"/>
              <w:bottom w:val="nil"/>
            </w:tcBorders>
            <w:vAlign w:val="center"/>
          </w:tcPr>
          <w:p w:rsidR="004B417C" w:rsidRPr="004B5AD7" w:rsidRDefault="004B417C" w:rsidP="00AF08B0">
            <w:pPr>
              <w:ind w:left="418"/>
              <w:rPr>
                <w:szCs w:val="22"/>
                <w:lang w:val="el-GR"/>
              </w:rPr>
            </w:pPr>
            <w:r>
              <w:rPr>
                <w:szCs w:val="22"/>
                <w:lang w:val="el-GR"/>
              </w:rPr>
              <w:t>Αντιπρόεδρος Δ.Σ- Μη εκτελεστικό μέλος</w:t>
            </w:r>
          </w:p>
        </w:tc>
      </w:tr>
      <w:tr w:rsidR="004B417C" w:rsidRPr="004B5AD7" w:rsidTr="00AF08B0">
        <w:tblPrEx>
          <w:tblBorders>
            <w:top w:val="single" w:sz="6" w:space="0" w:color="auto"/>
            <w:bottom w:val="single" w:sz="6" w:space="0" w:color="auto"/>
            <w:insideH w:val="single" w:sz="6" w:space="0" w:color="auto"/>
          </w:tblBorders>
        </w:tblPrEx>
        <w:tc>
          <w:tcPr>
            <w:tcW w:w="3402" w:type="dxa"/>
            <w:tcBorders>
              <w:top w:val="nil"/>
              <w:bottom w:val="nil"/>
            </w:tcBorders>
            <w:vAlign w:val="center"/>
          </w:tcPr>
          <w:p w:rsidR="004B417C" w:rsidRPr="004B5AD7" w:rsidRDefault="004B417C" w:rsidP="00AF08B0">
            <w:pPr>
              <w:pStyle w:val="Header"/>
              <w:rPr>
                <w:szCs w:val="22"/>
                <w:lang w:val="el-GR"/>
              </w:rPr>
            </w:pPr>
            <w:r>
              <w:rPr>
                <w:szCs w:val="22"/>
                <w:lang w:val="el-GR"/>
              </w:rPr>
              <w:t>Αντωνίου Δημήτριος</w:t>
            </w:r>
          </w:p>
        </w:tc>
        <w:tc>
          <w:tcPr>
            <w:tcW w:w="4518" w:type="dxa"/>
            <w:tcBorders>
              <w:top w:val="nil"/>
              <w:bottom w:val="nil"/>
            </w:tcBorders>
            <w:vAlign w:val="center"/>
          </w:tcPr>
          <w:p w:rsidR="004B417C" w:rsidRPr="004B5AD7" w:rsidRDefault="004B417C" w:rsidP="00AF08B0">
            <w:pPr>
              <w:ind w:left="418"/>
              <w:rPr>
                <w:szCs w:val="22"/>
                <w:lang w:val="el-GR"/>
              </w:rPr>
            </w:pPr>
            <w:r>
              <w:rPr>
                <w:szCs w:val="22"/>
                <w:lang w:val="el-GR"/>
              </w:rPr>
              <w:t>Μη εκτελεστικό μέλος</w:t>
            </w:r>
          </w:p>
        </w:tc>
      </w:tr>
      <w:tr w:rsidR="004B417C" w:rsidRPr="004B5AD7" w:rsidTr="00AF08B0">
        <w:tblPrEx>
          <w:tblBorders>
            <w:top w:val="single" w:sz="6" w:space="0" w:color="auto"/>
            <w:bottom w:val="single" w:sz="6" w:space="0" w:color="auto"/>
            <w:insideH w:val="single" w:sz="6" w:space="0" w:color="auto"/>
          </w:tblBorders>
        </w:tblPrEx>
        <w:tc>
          <w:tcPr>
            <w:tcW w:w="3402" w:type="dxa"/>
            <w:tcBorders>
              <w:top w:val="nil"/>
              <w:bottom w:val="nil"/>
            </w:tcBorders>
            <w:vAlign w:val="center"/>
          </w:tcPr>
          <w:p w:rsidR="004B417C" w:rsidRPr="004B5AD7" w:rsidRDefault="004B417C" w:rsidP="00AF08B0">
            <w:pPr>
              <w:pStyle w:val="Header"/>
              <w:rPr>
                <w:szCs w:val="22"/>
                <w:lang w:val="el-GR"/>
              </w:rPr>
            </w:pPr>
            <w:r>
              <w:rPr>
                <w:szCs w:val="22"/>
                <w:lang w:val="el-GR"/>
              </w:rPr>
              <w:t>Παραδείσης Πέτρος</w:t>
            </w:r>
          </w:p>
        </w:tc>
        <w:tc>
          <w:tcPr>
            <w:tcW w:w="4518" w:type="dxa"/>
            <w:tcBorders>
              <w:top w:val="nil"/>
              <w:bottom w:val="nil"/>
            </w:tcBorders>
            <w:vAlign w:val="center"/>
          </w:tcPr>
          <w:p w:rsidR="004B417C" w:rsidRPr="004B5AD7" w:rsidRDefault="004B417C" w:rsidP="00AF08B0">
            <w:pPr>
              <w:ind w:left="418"/>
              <w:rPr>
                <w:szCs w:val="22"/>
                <w:lang w:val="el-GR"/>
              </w:rPr>
            </w:pPr>
            <w:r>
              <w:rPr>
                <w:szCs w:val="22"/>
                <w:lang w:val="el-GR"/>
              </w:rPr>
              <w:t>Διευθύνων Σύμβουλος-Εκτελεστικό μέλος</w:t>
            </w:r>
          </w:p>
        </w:tc>
      </w:tr>
      <w:tr w:rsidR="004B417C" w:rsidRPr="004B5AD7" w:rsidTr="00AF08B0">
        <w:tblPrEx>
          <w:tblBorders>
            <w:top w:val="single" w:sz="6" w:space="0" w:color="auto"/>
            <w:bottom w:val="single" w:sz="6" w:space="0" w:color="auto"/>
            <w:insideH w:val="single" w:sz="6" w:space="0" w:color="auto"/>
          </w:tblBorders>
        </w:tblPrEx>
        <w:tc>
          <w:tcPr>
            <w:tcW w:w="3402" w:type="dxa"/>
            <w:tcBorders>
              <w:top w:val="nil"/>
              <w:bottom w:val="nil"/>
            </w:tcBorders>
            <w:vAlign w:val="center"/>
          </w:tcPr>
          <w:p w:rsidR="004B417C" w:rsidRPr="004B5AD7" w:rsidRDefault="004B417C" w:rsidP="00AF08B0">
            <w:pPr>
              <w:pStyle w:val="Header"/>
              <w:rPr>
                <w:szCs w:val="22"/>
                <w:lang w:val="el-GR"/>
              </w:rPr>
            </w:pPr>
            <w:r>
              <w:rPr>
                <w:szCs w:val="22"/>
                <w:lang w:val="el-GR"/>
              </w:rPr>
              <w:t>Αργύρη Αγγελική</w:t>
            </w:r>
          </w:p>
        </w:tc>
        <w:tc>
          <w:tcPr>
            <w:tcW w:w="4518" w:type="dxa"/>
            <w:tcBorders>
              <w:top w:val="nil"/>
              <w:bottom w:val="nil"/>
            </w:tcBorders>
            <w:vAlign w:val="center"/>
          </w:tcPr>
          <w:p w:rsidR="004B417C" w:rsidRPr="004B5AD7" w:rsidRDefault="004B417C" w:rsidP="00AF08B0">
            <w:pPr>
              <w:ind w:left="418"/>
              <w:rPr>
                <w:szCs w:val="22"/>
                <w:lang w:val="el-GR"/>
              </w:rPr>
            </w:pPr>
            <w:r>
              <w:rPr>
                <w:szCs w:val="22"/>
                <w:lang w:val="el-GR"/>
              </w:rPr>
              <w:t xml:space="preserve">Μη εκτελεστικό μέλος </w:t>
            </w:r>
          </w:p>
        </w:tc>
      </w:tr>
      <w:tr w:rsidR="004B417C" w:rsidRPr="004B5AD7" w:rsidTr="00AF08B0">
        <w:tblPrEx>
          <w:tblBorders>
            <w:top w:val="single" w:sz="6" w:space="0" w:color="auto"/>
            <w:bottom w:val="single" w:sz="6" w:space="0" w:color="auto"/>
            <w:insideH w:val="single" w:sz="6" w:space="0" w:color="auto"/>
          </w:tblBorders>
        </w:tblPrEx>
        <w:tc>
          <w:tcPr>
            <w:tcW w:w="3402" w:type="dxa"/>
            <w:tcBorders>
              <w:top w:val="nil"/>
              <w:bottom w:val="nil"/>
            </w:tcBorders>
            <w:vAlign w:val="center"/>
          </w:tcPr>
          <w:p w:rsidR="004B417C" w:rsidRPr="004B5AD7" w:rsidRDefault="004B417C" w:rsidP="00AF08B0">
            <w:pPr>
              <w:pStyle w:val="Header"/>
              <w:rPr>
                <w:szCs w:val="22"/>
                <w:lang w:val="el-GR"/>
              </w:rPr>
            </w:pPr>
            <w:r>
              <w:rPr>
                <w:szCs w:val="22"/>
                <w:lang w:val="el-GR"/>
              </w:rPr>
              <w:t>Καράμπελας Αγησίλαος</w:t>
            </w:r>
          </w:p>
        </w:tc>
        <w:tc>
          <w:tcPr>
            <w:tcW w:w="4518" w:type="dxa"/>
            <w:tcBorders>
              <w:top w:val="nil"/>
              <w:bottom w:val="nil"/>
            </w:tcBorders>
            <w:vAlign w:val="center"/>
          </w:tcPr>
          <w:p w:rsidR="004B417C" w:rsidRPr="004B5AD7" w:rsidRDefault="004B417C" w:rsidP="00AF08B0">
            <w:pPr>
              <w:ind w:left="418"/>
              <w:rPr>
                <w:szCs w:val="22"/>
                <w:lang w:val="el-GR"/>
              </w:rPr>
            </w:pPr>
            <w:r>
              <w:rPr>
                <w:szCs w:val="22"/>
                <w:lang w:val="el-GR"/>
              </w:rPr>
              <w:t>Μη εκτελεστικό μέλος</w:t>
            </w:r>
          </w:p>
        </w:tc>
      </w:tr>
      <w:tr w:rsidR="004B417C" w:rsidRPr="004B5AD7" w:rsidTr="00AF08B0">
        <w:tblPrEx>
          <w:tblBorders>
            <w:top w:val="single" w:sz="6" w:space="0" w:color="auto"/>
            <w:bottom w:val="single" w:sz="6" w:space="0" w:color="auto"/>
            <w:insideH w:val="single" w:sz="6" w:space="0" w:color="auto"/>
          </w:tblBorders>
        </w:tblPrEx>
        <w:tc>
          <w:tcPr>
            <w:tcW w:w="3402" w:type="dxa"/>
            <w:tcBorders>
              <w:top w:val="nil"/>
              <w:bottom w:val="nil"/>
            </w:tcBorders>
            <w:vAlign w:val="center"/>
          </w:tcPr>
          <w:p w:rsidR="004B417C" w:rsidRPr="004B5AD7" w:rsidRDefault="004B417C" w:rsidP="00AF08B0">
            <w:pPr>
              <w:pStyle w:val="Header"/>
              <w:tabs>
                <w:tab w:val="clear" w:pos="4536"/>
                <w:tab w:val="clear" w:pos="9072"/>
              </w:tabs>
              <w:rPr>
                <w:szCs w:val="22"/>
                <w:lang w:val="el-GR"/>
              </w:rPr>
            </w:pPr>
            <w:r>
              <w:rPr>
                <w:szCs w:val="22"/>
                <w:lang w:val="el-GR"/>
              </w:rPr>
              <w:t>Μελέτης Γεώργιος</w:t>
            </w:r>
          </w:p>
        </w:tc>
        <w:tc>
          <w:tcPr>
            <w:tcW w:w="4518" w:type="dxa"/>
            <w:tcBorders>
              <w:top w:val="nil"/>
              <w:bottom w:val="nil"/>
            </w:tcBorders>
            <w:vAlign w:val="center"/>
          </w:tcPr>
          <w:p w:rsidR="004B417C" w:rsidRPr="004B5AD7" w:rsidRDefault="004B417C" w:rsidP="00AF08B0">
            <w:pPr>
              <w:ind w:left="418"/>
              <w:rPr>
                <w:szCs w:val="22"/>
                <w:lang w:val="el-GR"/>
              </w:rPr>
            </w:pPr>
            <w:r>
              <w:rPr>
                <w:szCs w:val="22"/>
                <w:lang w:val="el-GR"/>
              </w:rPr>
              <w:t>Μη εκτελεστικό μέλος</w:t>
            </w:r>
          </w:p>
        </w:tc>
      </w:tr>
    </w:tbl>
    <w:p w:rsidR="004B417C" w:rsidRDefault="004B417C" w:rsidP="00913F06">
      <w:pPr>
        <w:tabs>
          <w:tab w:val="clear" w:pos="227"/>
          <w:tab w:val="clear" w:pos="454"/>
          <w:tab w:val="clear" w:pos="680"/>
          <w:tab w:val="left" w:pos="720"/>
        </w:tabs>
        <w:autoSpaceDE w:val="0"/>
        <w:autoSpaceDN w:val="0"/>
        <w:adjustRightInd w:val="0"/>
        <w:spacing w:line="240" w:lineRule="auto"/>
        <w:ind w:right="360"/>
        <w:jc w:val="both"/>
      </w:pPr>
    </w:p>
    <w:p w:rsidR="004B417C" w:rsidRPr="00FC32EA" w:rsidRDefault="004B417C" w:rsidP="00913F06">
      <w:pPr>
        <w:tabs>
          <w:tab w:val="clear" w:pos="227"/>
          <w:tab w:val="clear" w:pos="454"/>
          <w:tab w:val="clear" w:pos="680"/>
          <w:tab w:val="left" w:pos="720"/>
        </w:tabs>
        <w:autoSpaceDE w:val="0"/>
        <w:autoSpaceDN w:val="0"/>
        <w:adjustRightInd w:val="0"/>
        <w:spacing w:line="240" w:lineRule="auto"/>
        <w:ind w:right="360"/>
        <w:jc w:val="both"/>
      </w:pPr>
    </w:p>
    <w:p w:rsidR="004B417C" w:rsidRPr="00E0042D" w:rsidRDefault="004B417C" w:rsidP="006F06F8">
      <w:pPr>
        <w:tabs>
          <w:tab w:val="clear" w:pos="227"/>
          <w:tab w:val="clear" w:pos="454"/>
          <w:tab w:val="clear" w:pos="680"/>
          <w:tab w:val="left" w:pos="720"/>
        </w:tabs>
        <w:autoSpaceDE w:val="0"/>
        <w:autoSpaceDN w:val="0"/>
        <w:adjustRightInd w:val="0"/>
        <w:spacing w:line="240" w:lineRule="auto"/>
        <w:ind w:right="360"/>
        <w:jc w:val="both"/>
        <w:rPr>
          <w:lang w:val="el-GR"/>
        </w:rPr>
      </w:pPr>
      <w:r w:rsidRPr="00E0042D">
        <w:rPr>
          <w:lang w:val="el-GR"/>
        </w:rPr>
        <w:t>Η Γ</w:t>
      </w:r>
      <w:r>
        <w:rPr>
          <w:lang w:val="el-GR"/>
        </w:rPr>
        <w:t>ενική Συνέλευση των μετόχων την</w:t>
      </w:r>
      <w:r w:rsidRPr="00E0042D">
        <w:rPr>
          <w:lang w:val="el-GR"/>
        </w:rPr>
        <w:t xml:space="preserve"> 25 Οκτωβρίου 2010 αποφάσισε την εξαγορά του Ενεργητικού της </w:t>
      </w:r>
      <w:r w:rsidRPr="00E0042D">
        <w:t>Ate</w:t>
      </w:r>
      <w:r w:rsidRPr="00E0042D">
        <w:rPr>
          <w:lang w:val="el-GR"/>
        </w:rPr>
        <w:t xml:space="preserve"> </w:t>
      </w:r>
      <w:r w:rsidRPr="00E0042D">
        <w:t>Rent</w:t>
      </w:r>
      <w:r w:rsidRPr="00E0042D">
        <w:rPr>
          <w:lang w:val="el-GR"/>
        </w:rPr>
        <w:t xml:space="preserve"> με ημερομηνία 31/10/2010 καθώς και την μεταβίβαση όλων των συμβάσεων της στην </w:t>
      </w:r>
      <w:r w:rsidRPr="00E0042D">
        <w:t>Ate</w:t>
      </w:r>
      <w:r w:rsidRPr="00E0042D">
        <w:rPr>
          <w:lang w:val="el-GR"/>
        </w:rPr>
        <w:t xml:space="preserve"> </w:t>
      </w:r>
      <w:r w:rsidRPr="00E0042D">
        <w:t>Leasing</w:t>
      </w:r>
      <w:r w:rsidRPr="00E0042D">
        <w:rPr>
          <w:lang w:val="el-GR"/>
        </w:rPr>
        <w:t xml:space="preserve">. Μετά την ολοκλήρωση της μεταβίβασης η </w:t>
      </w:r>
      <w:r w:rsidRPr="00E0042D">
        <w:t>Ate</w:t>
      </w:r>
      <w:r w:rsidRPr="00E0042D">
        <w:rPr>
          <w:lang w:val="el-GR"/>
        </w:rPr>
        <w:t xml:space="preserve"> </w:t>
      </w:r>
      <w:r w:rsidRPr="00E0042D">
        <w:t>Rent</w:t>
      </w:r>
      <w:r w:rsidRPr="00E0042D">
        <w:rPr>
          <w:lang w:val="el-GR"/>
        </w:rPr>
        <w:t xml:space="preserve"> να τεθεί σε εκκαθάριση με ημερομηνία έναρξης την 1</w:t>
      </w:r>
      <w:r w:rsidRPr="00E0042D">
        <w:rPr>
          <w:vertAlign w:val="superscript"/>
          <w:lang w:val="el-GR"/>
        </w:rPr>
        <w:t>η</w:t>
      </w:r>
      <w:r w:rsidRPr="00E0042D">
        <w:rPr>
          <w:lang w:val="el-GR"/>
        </w:rPr>
        <w:t xml:space="preserve"> Νοεμβρίου 2010.</w:t>
      </w:r>
    </w:p>
    <w:p w:rsidR="004B417C" w:rsidRDefault="004B417C" w:rsidP="006F06F8">
      <w:pPr>
        <w:tabs>
          <w:tab w:val="clear" w:pos="227"/>
          <w:tab w:val="clear" w:pos="454"/>
          <w:tab w:val="clear" w:pos="680"/>
          <w:tab w:val="left" w:pos="720"/>
        </w:tabs>
        <w:autoSpaceDE w:val="0"/>
        <w:autoSpaceDN w:val="0"/>
        <w:adjustRightInd w:val="0"/>
        <w:spacing w:line="240" w:lineRule="auto"/>
        <w:ind w:right="360"/>
        <w:jc w:val="both"/>
        <w:rPr>
          <w:lang w:val="el-GR"/>
        </w:rPr>
      </w:pPr>
      <w:r w:rsidRPr="00E0042D">
        <w:rPr>
          <w:lang w:val="el-GR"/>
        </w:rPr>
        <w:t>Επίσης η Γενική Συνέλευση αποφάσισε την τροποποίηση του καταστατικού της εταιρείας έτσι ώστε να μπορεί να πραγματοποιεί λειτουργικές-μακροχρόνιες μισθώσεις.</w:t>
      </w:r>
    </w:p>
    <w:p w:rsidR="004B417C" w:rsidRPr="00915E21" w:rsidRDefault="004B417C" w:rsidP="006F06F8">
      <w:pPr>
        <w:tabs>
          <w:tab w:val="clear" w:pos="227"/>
          <w:tab w:val="clear" w:pos="454"/>
          <w:tab w:val="clear" w:pos="680"/>
          <w:tab w:val="left" w:pos="720"/>
        </w:tabs>
        <w:autoSpaceDE w:val="0"/>
        <w:autoSpaceDN w:val="0"/>
        <w:adjustRightInd w:val="0"/>
        <w:spacing w:line="240" w:lineRule="auto"/>
        <w:ind w:right="360"/>
        <w:jc w:val="both"/>
        <w:rPr>
          <w:lang w:val="el-GR"/>
        </w:rPr>
      </w:pPr>
    </w:p>
    <w:bookmarkEnd w:id="5"/>
    <w:bookmarkEnd w:id="6"/>
    <w:p w:rsidR="004B417C" w:rsidRDefault="004B417C" w:rsidP="00CC12F8">
      <w:pPr>
        <w:pStyle w:val="Heading1"/>
        <w:keepLines/>
        <w:numPr>
          <w:ilvl w:val="0"/>
          <w:numId w:val="28"/>
        </w:numPr>
        <w:shd w:val="clear" w:color="auto" w:fill="auto"/>
        <w:spacing w:before="130" w:line="280" w:lineRule="atLeast"/>
        <w:rPr>
          <w:szCs w:val="22"/>
          <w:lang w:val="el-GR"/>
        </w:rPr>
      </w:pPr>
      <w:r w:rsidRPr="00A60880">
        <w:rPr>
          <w:szCs w:val="22"/>
          <w:lang w:val="el-GR"/>
        </w:rPr>
        <w:softHyphen/>
        <w:t xml:space="preserve"> Βάση παρουσίασης των οικονομικών καταστάσεων</w:t>
      </w:r>
    </w:p>
    <w:p w:rsidR="004B417C" w:rsidRPr="00C044BA" w:rsidRDefault="004B417C" w:rsidP="002370F5">
      <w:pPr>
        <w:pStyle w:val="Heading2"/>
        <w:rPr>
          <w:lang w:val="el-GR"/>
        </w:rPr>
      </w:pPr>
    </w:p>
    <w:p w:rsidR="004B417C" w:rsidRDefault="004B417C" w:rsidP="00CC12F8">
      <w:pPr>
        <w:pStyle w:val="Heading2"/>
        <w:ind w:left="539" w:hanging="539"/>
        <w:rPr>
          <w:lang w:val="el-GR"/>
        </w:rPr>
      </w:pPr>
      <w:r>
        <w:rPr>
          <w:lang w:val="el-GR"/>
        </w:rPr>
        <w:t>2.1</w:t>
      </w:r>
      <w:r>
        <w:rPr>
          <w:lang w:val="el-GR"/>
        </w:rPr>
        <w:tab/>
        <w:t>Αλλαγή στη βάση παρουσίασης</w:t>
      </w:r>
    </w:p>
    <w:p w:rsidR="004B417C" w:rsidRDefault="004B417C" w:rsidP="00F428CE">
      <w:pPr>
        <w:pStyle w:val="Heading2"/>
        <w:ind w:left="539" w:hanging="539"/>
        <w:rPr>
          <w:rFonts w:eastAsia="Arial Unicode MS"/>
          <w:lang w:val="el-GR"/>
        </w:rPr>
      </w:pPr>
    </w:p>
    <w:p w:rsidR="004B417C" w:rsidRPr="006F06F8" w:rsidRDefault="004B417C" w:rsidP="006F06F8">
      <w:pPr>
        <w:pStyle w:val="058"/>
        <w:framePr w:hSpace="0" w:wrap="auto" w:vAnchor="margin" w:xAlign="left" w:yAlign="inline"/>
        <w:suppressOverlap w:val="0"/>
        <w:rPr>
          <w:sz w:val="22"/>
          <w:szCs w:val="22"/>
        </w:rPr>
      </w:pPr>
      <w:r w:rsidRPr="006F06F8">
        <w:rPr>
          <w:sz w:val="22"/>
          <w:szCs w:val="22"/>
        </w:rPr>
        <w:t xml:space="preserve">Οι οικονομικές καταστάσεις της Εταιρείας έχουν συνταχθεί σύμφωνα με τα Διεθνή Πρότυπα Χρηματοοικονομικής Αναφοράς (Δ.Π.Χ.Α.) και τις ερμηνείες τους όπως έχουν υιοθετηθεί από την Ευρωπαϊκή Ένωση. </w:t>
      </w:r>
    </w:p>
    <w:p w:rsidR="004B417C" w:rsidRPr="006F06F8" w:rsidRDefault="004B417C" w:rsidP="006F06F8">
      <w:pPr>
        <w:pStyle w:val="058"/>
        <w:framePr w:hSpace="0" w:wrap="auto" w:vAnchor="margin" w:xAlign="left" w:yAlign="inline"/>
        <w:suppressOverlap w:val="0"/>
        <w:rPr>
          <w:sz w:val="22"/>
          <w:szCs w:val="22"/>
        </w:rPr>
      </w:pPr>
    </w:p>
    <w:p w:rsidR="004B417C" w:rsidRPr="006F06F8" w:rsidRDefault="004B417C" w:rsidP="006F06F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22"/>
          <w:lang w:val="el-GR"/>
        </w:rPr>
      </w:pPr>
      <w:r w:rsidRPr="006F06F8">
        <w:rPr>
          <w:szCs w:val="22"/>
          <w:lang w:val="el-GR"/>
        </w:rPr>
        <w:t>Σύμφωνα με το Δ.Λ.Π. 1 «Παρουσίαση των οικονομικών καταστάσεων», η Εταιρεία προέβη σε αλλαγή της βάσης παρουσίασης των οικονομικών της καταστάσεων από την «Αρχή της επιχειρηματικής συνέχειας των δραστηριοτήτων» (</w:t>
      </w:r>
      <w:r w:rsidRPr="006F06F8">
        <w:rPr>
          <w:szCs w:val="22"/>
        </w:rPr>
        <w:t>going</w:t>
      </w:r>
      <w:r w:rsidRPr="006F06F8">
        <w:rPr>
          <w:szCs w:val="22"/>
          <w:lang w:val="el-GR"/>
        </w:rPr>
        <w:t xml:space="preserve"> </w:t>
      </w:r>
      <w:r w:rsidRPr="006F06F8">
        <w:rPr>
          <w:szCs w:val="22"/>
        </w:rPr>
        <w:t>concern</w:t>
      </w:r>
      <w:r w:rsidRPr="006F06F8">
        <w:rPr>
          <w:szCs w:val="22"/>
          <w:lang w:val="el-GR"/>
        </w:rPr>
        <w:t>) σε</w:t>
      </w:r>
    </w:p>
    <w:p w:rsidR="004B417C" w:rsidRPr="006F06F8" w:rsidRDefault="004B417C" w:rsidP="006F06F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22"/>
          <w:lang w:val="el-GR"/>
        </w:rPr>
      </w:pPr>
      <w:r w:rsidRPr="006F06F8">
        <w:rPr>
          <w:szCs w:val="22"/>
          <w:lang w:val="el-GR"/>
        </w:rPr>
        <w:t>αυτή των «ρευστοποιήσιμων αξιών» (</w:t>
      </w:r>
      <w:r w:rsidRPr="006F06F8">
        <w:rPr>
          <w:szCs w:val="22"/>
        </w:rPr>
        <w:t>liquidation</w:t>
      </w:r>
      <w:r w:rsidRPr="006F06F8">
        <w:rPr>
          <w:szCs w:val="22"/>
          <w:lang w:val="el-GR"/>
        </w:rPr>
        <w:t xml:space="preserve"> </w:t>
      </w:r>
      <w:r w:rsidRPr="006F06F8">
        <w:rPr>
          <w:szCs w:val="22"/>
        </w:rPr>
        <w:t>basis</w:t>
      </w:r>
      <w:r w:rsidRPr="006F06F8">
        <w:rPr>
          <w:szCs w:val="22"/>
          <w:lang w:val="el-GR"/>
        </w:rPr>
        <w:t>), με ισχύ από την 31</w:t>
      </w:r>
      <w:r w:rsidRPr="006F06F8">
        <w:rPr>
          <w:szCs w:val="22"/>
          <w:vertAlign w:val="superscript"/>
          <w:lang w:val="el-GR"/>
        </w:rPr>
        <w:t>η</w:t>
      </w:r>
      <w:r w:rsidRPr="006F06F8">
        <w:rPr>
          <w:szCs w:val="22"/>
          <w:lang w:val="el-GR"/>
        </w:rPr>
        <w:t xml:space="preserve">  Δεκεμβρίου 2011. Η αλλαγή αυτή πραγματοποιήθηκε, αφού λαμβάνοντας υπόψη τις εκ νέου αρνητικές χρηματοοικονομικές επιδόσεις της Εταιρείας κατά το 2012 και τα γεγονότα της 27</w:t>
      </w:r>
      <w:r w:rsidRPr="006F06F8">
        <w:rPr>
          <w:szCs w:val="22"/>
          <w:vertAlign w:val="superscript"/>
          <w:lang w:val="el-GR"/>
        </w:rPr>
        <w:t>ης</w:t>
      </w:r>
      <w:r w:rsidRPr="006F06F8">
        <w:rPr>
          <w:szCs w:val="22"/>
          <w:lang w:val="el-GR"/>
        </w:rPr>
        <w:t xml:space="preserve"> Ιουλίου 2012 που αναφέρονται στη σημείωση 1 παραπάνω, εκτιμήθηκε ότι</w:t>
      </w:r>
      <w:r>
        <w:rPr>
          <w:szCs w:val="22"/>
          <w:lang w:val="el-GR"/>
        </w:rPr>
        <w:t xml:space="preserve"> </w:t>
      </w:r>
      <w:r w:rsidRPr="006F06F8">
        <w:rPr>
          <w:szCs w:val="22"/>
          <w:lang w:val="el-GR"/>
        </w:rPr>
        <w:t>η Εταιρεία δεν δύναται να συνεχίσει απρόσκοπτα την επιχειρηματική της δραστηριότητα.</w:t>
      </w:r>
    </w:p>
    <w:p w:rsidR="004B417C" w:rsidRPr="006F06F8" w:rsidRDefault="004B417C" w:rsidP="006F06F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22"/>
          <w:lang w:val="el-GR"/>
        </w:rPr>
      </w:pPr>
    </w:p>
    <w:p w:rsidR="004B417C" w:rsidRPr="006F06F8" w:rsidRDefault="004B417C" w:rsidP="006F06F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22"/>
          <w:lang w:val="el-GR"/>
        </w:rPr>
      </w:pPr>
      <w:r w:rsidRPr="006F06F8">
        <w:rPr>
          <w:szCs w:val="22"/>
          <w:lang w:val="el-GR"/>
        </w:rPr>
        <w:t xml:space="preserve">Η Εταιρεία εμφάνισε κατά το 2012 ζημία (προ φόρων) ύψους </w:t>
      </w:r>
      <w:r>
        <w:rPr>
          <w:szCs w:val="22"/>
          <w:lang w:val="el-GR"/>
        </w:rPr>
        <w:t xml:space="preserve">€ 65.450χιλ. </w:t>
      </w:r>
      <w:r w:rsidRPr="006F06F8">
        <w:rPr>
          <w:szCs w:val="22"/>
          <w:lang w:val="el-GR"/>
        </w:rPr>
        <w:t>έναντι ζημίας</w:t>
      </w:r>
      <w:r>
        <w:rPr>
          <w:szCs w:val="22"/>
          <w:lang w:val="el-GR"/>
        </w:rPr>
        <w:t xml:space="preserve"> (προ φόρων) ύψους € 68.822</w:t>
      </w:r>
      <w:r w:rsidRPr="006F06F8">
        <w:rPr>
          <w:szCs w:val="22"/>
          <w:lang w:val="el-GR"/>
        </w:rPr>
        <w:t xml:space="preserve"> χιλ. το 2011. Αντίστοιχα, τα ίδια κεφάλαια της Εταιρείας, στις 31/12/2012 παρουσίασαν αρνητικό (χρεωστικό) υπόλοιπο €</w:t>
      </w:r>
      <w:r>
        <w:rPr>
          <w:szCs w:val="22"/>
          <w:lang w:val="el-GR"/>
        </w:rPr>
        <w:t>126.435</w:t>
      </w:r>
      <w:r w:rsidRPr="006F06F8">
        <w:rPr>
          <w:szCs w:val="22"/>
          <w:lang w:val="el-GR"/>
        </w:rPr>
        <w:t xml:space="preserve"> χιλ</w:t>
      </w:r>
      <w:r>
        <w:rPr>
          <w:szCs w:val="22"/>
          <w:lang w:val="el-GR"/>
        </w:rPr>
        <w:t>.</w:t>
      </w:r>
    </w:p>
    <w:p w:rsidR="004B417C" w:rsidRPr="006F06F8" w:rsidRDefault="004B417C" w:rsidP="006F06F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color w:val="000000"/>
          <w:szCs w:val="22"/>
          <w:lang w:val="el-GR"/>
        </w:rPr>
      </w:pPr>
    </w:p>
    <w:p w:rsidR="004B417C" w:rsidRPr="006F06F8" w:rsidRDefault="004B417C" w:rsidP="006F06F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22"/>
          <w:lang w:val="el-GR"/>
        </w:rPr>
      </w:pPr>
      <w:r w:rsidRPr="006F06F8">
        <w:rPr>
          <w:color w:val="000000"/>
          <w:szCs w:val="22"/>
          <w:lang w:val="el-GR"/>
        </w:rPr>
        <w:t xml:space="preserve">Επίσης, η Εταιρεία ως άμεσα εξαρτώμενη από τη μητρική της ΑΤΕ όσον αφορά στην κάλυψη των κεφαλαιακών της αναγκών, </w:t>
      </w:r>
      <w:r w:rsidRPr="006F06F8">
        <w:rPr>
          <w:szCs w:val="22"/>
          <w:lang w:val="el-GR"/>
        </w:rPr>
        <w:t>δεν υλοποίησε αύξηση του μετοχικού της κεφαλαίου κατά</w:t>
      </w:r>
      <w:r>
        <w:rPr>
          <w:szCs w:val="22"/>
          <w:lang w:val="el-GR"/>
        </w:rPr>
        <w:t xml:space="preserve"> </w:t>
      </w:r>
      <w:r w:rsidRPr="006F06F8">
        <w:rPr>
          <w:szCs w:val="22"/>
          <w:lang w:val="el-GR"/>
        </w:rPr>
        <w:t>€</w:t>
      </w:r>
      <w:r>
        <w:rPr>
          <w:szCs w:val="22"/>
          <w:lang w:val="el-GR"/>
        </w:rPr>
        <w:t xml:space="preserve"> 89.999.998,66 </w:t>
      </w:r>
      <w:r w:rsidRPr="006F06F8">
        <w:rPr>
          <w:szCs w:val="22"/>
          <w:lang w:val="el-GR"/>
        </w:rPr>
        <w:t xml:space="preserve">που είχε </w:t>
      </w:r>
      <w:r w:rsidRPr="006F06F8">
        <w:rPr>
          <w:color w:val="000000"/>
          <w:szCs w:val="22"/>
          <w:lang w:val="el-GR"/>
        </w:rPr>
        <w:t xml:space="preserve">αποφασίσει η </w:t>
      </w:r>
      <w:r w:rsidRPr="006F06F8">
        <w:rPr>
          <w:szCs w:val="22"/>
          <w:lang w:val="el-GR"/>
        </w:rPr>
        <w:t>Γενική Συνέλευση της Εταιρείας την 21 Φεβρουαρίου 2012.</w:t>
      </w:r>
    </w:p>
    <w:p w:rsidR="004B417C" w:rsidRDefault="004B417C" w:rsidP="0054316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rPr>
          <w:rFonts w:ascii="Tahoma" w:hAnsi="Tahoma" w:cs="Tahoma"/>
          <w:sz w:val="20"/>
          <w:lang w:val="el-GR"/>
        </w:rPr>
      </w:pPr>
    </w:p>
    <w:p w:rsidR="004B417C" w:rsidRDefault="004B417C" w:rsidP="003F6C06">
      <w:pPr>
        <w:pStyle w:val="Heading2"/>
        <w:tabs>
          <w:tab w:val="clear" w:pos="454"/>
          <w:tab w:val="clear" w:pos="680"/>
          <w:tab w:val="left" w:pos="0"/>
        </w:tabs>
        <w:rPr>
          <w:lang w:val="el-GR"/>
        </w:rPr>
      </w:pPr>
      <w:r>
        <w:rPr>
          <w:lang w:val="el-GR"/>
        </w:rPr>
        <w:t>2.2   Βάση Επιμέτρησης</w:t>
      </w:r>
    </w:p>
    <w:p w:rsidR="004B417C" w:rsidRPr="003F6C06" w:rsidRDefault="004B417C" w:rsidP="003F6C06">
      <w:pPr>
        <w:rPr>
          <w:lang w:val="el-GR"/>
        </w:rPr>
      </w:pPr>
    </w:p>
    <w:p w:rsidR="004B417C" w:rsidRPr="003153C2" w:rsidRDefault="004B417C" w:rsidP="003153C2">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22"/>
          <w:lang w:val="el-GR"/>
        </w:rPr>
      </w:pPr>
      <w:r w:rsidRPr="007D72BD">
        <w:rPr>
          <w:szCs w:val="22"/>
          <w:lang w:val="el-GR"/>
        </w:rPr>
        <w:t>Αναφορικά με τις οικονομικές καταστάσεις του 2012 και δεδομένης της προαναφερθείσας αλλαγής στη βάση παρουσίασης, τα στοιχεία του ενεργητικού απεικονίζονται κατά περίπτωση, είτε σε εύλογες αξίες, είτε στη χαμηλότερη μεταξύ της καθαρής ανακτήσιμης αξίας (εκτιμώμενη τιμή πώλησης μείον εκτιμώμενα έξοδα ρευστοποίησης) και του αναπόσβεστου κόστους (μείον τυχόν απομειώσεις). Οι υποχρεώσεις απεικονίζονται στο αναπόσβεστο κόστος.</w:t>
      </w:r>
    </w:p>
    <w:p w:rsidR="004B417C" w:rsidRDefault="004B417C" w:rsidP="00856A85">
      <w:pPr>
        <w:pStyle w:val="Heading2"/>
        <w:tabs>
          <w:tab w:val="clear" w:pos="454"/>
          <w:tab w:val="clear" w:pos="680"/>
          <w:tab w:val="left" w:pos="0"/>
        </w:tabs>
        <w:rPr>
          <w:lang w:val="el-GR"/>
        </w:rPr>
      </w:pPr>
      <w:r>
        <w:rPr>
          <w:lang w:val="el-GR"/>
        </w:rPr>
        <w:lastRenderedPageBreak/>
        <w:t>2.3   Λειτουργικό Νόμισμα</w:t>
      </w:r>
    </w:p>
    <w:p w:rsidR="004B417C" w:rsidRPr="00E70EA5" w:rsidRDefault="004B417C" w:rsidP="00C95316">
      <w:pPr>
        <w:pStyle w:val="058"/>
        <w:framePr w:hSpace="0" w:wrap="auto" w:vAnchor="margin" w:xAlign="left" w:yAlign="inline"/>
        <w:suppressOverlap w:val="0"/>
        <w:rPr>
          <w:sz w:val="22"/>
          <w:szCs w:val="22"/>
        </w:rPr>
      </w:pPr>
    </w:p>
    <w:p w:rsidR="004B417C" w:rsidRPr="006876E0" w:rsidRDefault="004B417C" w:rsidP="00C102EB">
      <w:pPr>
        <w:jc w:val="both"/>
        <w:rPr>
          <w:rFonts w:eastAsia="Arial Unicode MS"/>
          <w:szCs w:val="22"/>
          <w:lang w:val="el-GR"/>
        </w:rPr>
      </w:pPr>
      <w:r w:rsidRPr="002370F5">
        <w:rPr>
          <w:rFonts w:eastAsia="Arial Unicode MS"/>
          <w:szCs w:val="22"/>
          <w:lang w:val="el-GR"/>
        </w:rPr>
        <w:t xml:space="preserve">Τα ποσά που περιλαμβάνονται  </w:t>
      </w:r>
      <w:r>
        <w:rPr>
          <w:rFonts w:eastAsia="Arial Unicode MS"/>
          <w:szCs w:val="22"/>
          <w:lang w:val="el-GR"/>
        </w:rPr>
        <w:t xml:space="preserve">στις </w:t>
      </w:r>
      <w:r w:rsidRPr="002370F5">
        <w:rPr>
          <w:rFonts w:eastAsia="Arial Unicode MS"/>
          <w:szCs w:val="22"/>
          <w:lang w:val="el-GR"/>
        </w:rPr>
        <w:t>οικονομικές καταστάσεις παρουσιάζονται σε χιλιάδες Ευρώ, που είν</w:t>
      </w:r>
      <w:r>
        <w:rPr>
          <w:rFonts w:eastAsia="Arial Unicode MS"/>
          <w:szCs w:val="22"/>
          <w:lang w:val="el-GR"/>
        </w:rPr>
        <w:t>αι το νόμισμα βάσης της Εταιρείας</w:t>
      </w:r>
      <w:r w:rsidRPr="002370F5">
        <w:rPr>
          <w:rFonts w:eastAsia="Arial Unicode MS"/>
          <w:szCs w:val="22"/>
          <w:lang w:val="el-GR"/>
        </w:rPr>
        <w:t>, εκτός εάν αναφέρεται διαφορετικά.</w:t>
      </w:r>
    </w:p>
    <w:p w:rsidR="004B417C" w:rsidRDefault="004B417C" w:rsidP="00C102EB">
      <w:pPr>
        <w:jc w:val="both"/>
        <w:rPr>
          <w:color w:val="000000"/>
          <w:szCs w:val="22"/>
          <w:lang w:val="el-GR"/>
        </w:rPr>
      </w:pPr>
    </w:p>
    <w:p w:rsidR="004B417C" w:rsidRDefault="004B417C" w:rsidP="00D3739A">
      <w:pPr>
        <w:pStyle w:val="Heading2"/>
        <w:tabs>
          <w:tab w:val="clear" w:pos="454"/>
          <w:tab w:val="clear" w:pos="680"/>
          <w:tab w:val="left" w:pos="0"/>
        </w:tabs>
        <w:rPr>
          <w:lang w:val="el-GR"/>
        </w:rPr>
      </w:pPr>
      <w:r>
        <w:rPr>
          <w:lang w:val="el-GR"/>
        </w:rPr>
        <w:t>2.4   Χρήση Εκτιμήσεων και Παραδοχών</w:t>
      </w:r>
    </w:p>
    <w:p w:rsidR="004B417C" w:rsidRPr="00D3739A" w:rsidRDefault="004B417C" w:rsidP="00D3739A">
      <w:pPr>
        <w:pStyle w:val="Heading2"/>
        <w:tabs>
          <w:tab w:val="clear" w:pos="454"/>
          <w:tab w:val="clear" w:pos="680"/>
          <w:tab w:val="left" w:pos="0"/>
        </w:tabs>
        <w:rPr>
          <w:lang w:val="el-GR"/>
        </w:rPr>
      </w:pPr>
    </w:p>
    <w:p w:rsidR="004B417C" w:rsidRDefault="004B417C" w:rsidP="00D3739A">
      <w:pPr>
        <w:pStyle w:val="Heading2"/>
        <w:tabs>
          <w:tab w:val="clear" w:pos="454"/>
          <w:tab w:val="clear" w:pos="680"/>
          <w:tab w:val="left" w:pos="0"/>
        </w:tabs>
        <w:jc w:val="both"/>
        <w:rPr>
          <w:b w:val="0"/>
          <w:lang w:val="el-GR"/>
        </w:rPr>
      </w:pPr>
      <w:r w:rsidRPr="00D3739A">
        <w:rPr>
          <w:b w:val="0"/>
          <w:lang w:val="el-GR"/>
        </w:rPr>
        <w:t>Η σύνταξη των οικονομικών καταστάσεων σύμφωνα με τα Δ.Π.Χ.Α. απαιτεί τη διενέργεια εκτιμήσεων και υιοθέτηση παραδοχών από τη Διοίκηση, οι οποίες δύνανται να επηρεάσουν τα λογιστικά υπόλοιπα των περιουσιακών στοιχείων και υποχρεώσεων, καθώς επίσης και την καταχώρηση των εσόδων και εξόδων.  Τα πραγματικά αποτελέσματα ενδέχεται να διαφέρουν από τις ανωτέρω εκτιμήσεις. Η χρήση εκτιμήσεων και παραδοχών αφορά κυρίως στην αξιολόγηση του πιστωτικού κινδύνου για συμβάσεις χρηματοδοτικής μίσθωσης.</w:t>
      </w:r>
    </w:p>
    <w:p w:rsidR="004B417C" w:rsidRPr="00D3739A" w:rsidRDefault="004B417C" w:rsidP="00D3739A">
      <w:pPr>
        <w:jc w:val="both"/>
        <w:rPr>
          <w:lang w:val="el-GR"/>
        </w:rPr>
      </w:pPr>
    </w:p>
    <w:p w:rsidR="004B417C" w:rsidRPr="00D3739A" w:rsidRDefault="004B417C" w:rsidP="00D3739A">
      <w:pPr>
        <w:pStyle w:val="Heading2"/>
        <w:tabs>
          <w:tab w:val="clear" w:pos="454"/>
          <w:tab w:val="clear" w:pos="680"/>
          <w:tab w:val="left" w:pos="0"/>
        </w:tabs>
        <w:jc w:val="both"/>
        <w:rPr>
          <w:b w:val="0"/>
          <w:lang w:val="el-GR"/>
        </w:rPr>
      </w:pPr>
      <w:r w:rsidRPr="00D3739A">
        <w:rPr>
          <w:b w:val="0"/>
          <w:lang w:val="el-GR"/>
        </w:rPr>
        <w:t>Οι εκτιμήσεις και οι σχετικές παραδοχές επανεξετάζονται σε τακτά χρονικά διαστήματα. Αποκλίσεις των λογιστικών εκτιμήσεων αναγνωρίζονται την περίοδο κατά την οποία επανεξετάζονται εφόσον αφορούν μόνο την τρέχουσα περίοδο ή αν αφορούν και τις μελλοντικές περιόδους, οι αποκλίσεις επηρεάζουν την τρέχουσα και μελλοντικές περιόδους.</w:t>
      </w:r>
    </w:p>
    <w:p w:rsidR="004B417C" w:rsidRPr="00972B6E" w:rsidRDefault="004B417C" w:rsidP="00E26946">
      <w:pPr>
        <w:pStyle w:val="Heading1"/>
        <w:keepLines/>
        <w:shd w:val="clear" w:color="auto" w:fill="auto"/>
        <w:spacing w:before="130" w:line="280" w:lineRule="atLeast"/>
        <w:rPr>
          <w:szCs w:val="22"/>
          <w:lang w:val="el-GR"/>
        </w:rPr>
      </w:pPr>
      <w:r w:rsidRPr="00972B6E">
        <w:rPr>
          <w:szCs w:val="22"/>
          <w:lang w:val="el-GR"/>
        </w:rPr>
        <w:t>3   Σημαντικές λογιστικές αρχές</w:t>
      </w:r>
    </w:p>
    <w:p w:rsidR="004B417C" w:rsidRPr="00E26946" w:rsidRDefault="004B417C" w:rsidP="0076469E">
      <w:pPr>
        <w:rPr>
          <w:lang w:val="el-GR"/>
        </w:rPr>
      </w:pPr>
    </w:p>
    <w:p w:rsidR="004B417C" w:rsidRDefault="004B417C" w:rsidP="00CB3703">
      <w:pPr>
        <w:pStyle w:val="Heading2"/>
        <w:ind w:left="539" w:hanging="539"/>
        <w:rPr>
          <w:lang w:val="el-GR"/>
        </w:rPr>
      </w:pPr>
      <w:r>
        <w:rPr>
          <w:lang w:val="el-GR"/>
        </w:rPr>
        <w:t>3.1</w:t>
      </w:r>
      <w:r>
        <w:rPr>
          <w:lang w:val="el-GR"/>
        </w:rPr>
        <w:tab/>
        <w:t>Συναλλαγές σε ξένο νόμισμα</w:t>
      </w:r>
    </w:p>
    <w:p w:rsidR="004B417C" w:rsidRDefault="004B417C" w:rsidP="00CB3703">
      <w:pPr>
        <w:pStyle w:val="BodyText"/>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after="0"/>
        <w:rPr>
          <w:lang w:val="el-GR"/>
        </w:rPr>
      </w:pPr>
    </w:p>
    <w:p w:rsidR="004B417C" w:rsidRPr="00972B6E" w:rsidRDefault="004B417C" w:rsidP="00972B6E">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22"/>
          <w:lang w:val="el-GR"/>
        </w:rPr>
      </w:pPr>
      <w:r w:rsidRPr="00972B6E">
        <w:rPr>
          <w:szCs w:val="22"/>
          <w:lang w:val="el-GR"/>
        </w:rPr>
        <w:t>Οι συναλλαγές σε ξένα νομίσματα μετατρέπονται σε Ευρώ με βάση τις συναλλαγματικές ισοτιμίες που ίσχυαν την ημερομηνία διενέργειας των εκάστοτε συναλλαγών. Τα εκφρασμένα σε ξένο νόμισμα νομισματικά περιουσιακά στοιχεία και υποχρεώσεις τα οποία εμφανίζονται στο ιστορικό κόστος μετατρέπονται σε Ευρώ με βάση τις συναλλαγματικές ισοτιμίες που ίσχυαν την ημερομηνία εκείνη. Οι προκύπτουσες συναλλαγματικές διαφορές καταχωρούνται στα αποτελέσματα χρήσεως. Τα μη νομισματικά περιουσιακά στοιχεία και υποχρεώσεις σε ξένο νόμισμα που εκφράζονται στο ιστορικό τους κόστος, μετατρέπονται σε Ευρώ με βάση τις συναλλαγματικές ισοτιμίες οι οποίες ίσχυαν κατά την ημερομηνία του προσδιορισμού της εύλογης αξίας. Οι συναλλαγματικές διαφορές των μη νομισματικών περιουσιακών στοιχείων και υποχρεώσεων οι οποίες προκύπτουν από την αποτίμηση τους στο τέλος της χρήσεως, αναγνωρίζονται στα αποτελέσματα χρήσεως, εκτός των διαφορών οι οποίες προκύπτουν από αποτίμηση νομισματικών στοιχείων που αποτελούν μέρος επένδυσης σε θυγατρική εταιρεία σε άλλη χώρα και των χρηματοοικονομικών στοιχείων αντιστάθμισης ταμειακών ροών που αναγνωρίζονται απευθείας στην Καθαρή Θέση.</w:t>
      </w:r>
    </w:p>
    <w:p w:rsidR="004B417C" w:rsidRPr="00F16B40" w:rsidRDefault="004B417C" w:rsidP="00F16B4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rPr>
          <w:rFonts w:ascii="Tahoma" w:hAnsi="Tahoma" w:cs="Tahoma"/>
          <w:sz w:val="20"/>
          <w:lang w:val="el-GR"/>
        </w:rPr>
      </w:pPr>
    </w:p>
    <w:p w:rsidR="004B417C" w:rsidRDefault="004B417C" w:rsidP="00CB3703">
      <w:pPr>
        <w:pStyle w:val="Heading2"/>
        <w:ind w:left="539" w:hanging="539"/>
        <w:rPr>
          <w:lang w:val="el-GR"/>
        </w:rPr>
      </w:pPr>
      <w:r>
        <w:rPr>
          <w:lang w:val="el-GR"/>
        </w:rPr>
        <w:t>3.2</w:t>
      </w:r>
      <w:r>
        <w:rPr>
          <w:lang w:val="el-GR"/>
        </w:rPr>
        <w:tab/>
        <w:t>Έσοδα και έξοδα τόκων</w:t>
      </w:r>
    </w:p>
    <w:p w:rsidR="004B417C" w:rsidRPr="00C90E32" w:rsidRDefault="004B417C" w:rsidP="00164C88">
      <w:pPr>
        <w:jc w:val="both"/>
        <w:rPr>
          <w:lang w:val="el-GR"/>
        </w:rPr>
      </w:pPr>
    </w:p>
    <w:p w:rsidR="004B417C" w:rsidRDefault="004B417C" w:rsidP="008D0C5B">
      <w:pPr>
        <w:tabs>
          <w:tab w:val="clear" w:pos="227"/>
          <w:tab w:val="clear" w:pos="454"/>
          <w:tab w:val="clear" w:pos="680"/>
          <w:tab w:val="left" w:pos="720"/>
        </w:tabs>
        <w:autoSpaceDE w:val="0"/>
        <w:autoSpaceDN w:val="0"/>
        <w:adjustRightInd w:val="0"/>
        <w:spacing w:line="240" w:lineRule="auto"/>
        <w:ind w:right="-2"/>
        <w:jc w:val="both"/>
        <w:rPr>
          <w:lang w:val="el-GR"/>
        </w:rPr>
      </w:pPr>
      <w:r>
        <w:rPr>
          <w:lang w:val="el-GR"/>
        </w:rPr>
        <w:t xml:space="preserve">Τα έσοδα από τόκους προέρχονται από χρηματοδοτικές συμβάσεις με πελάτες ενώ τα χρηματοοικονομικά έξοδα αφορούν τους τόκους για την εξυπηρέτηση των δανείων που έχουν ληφθεί για τη χρηματοδότηση των εργασιών της Εταιρείας. Τα λοιπά έσοδα τόκων αφορούν κατά κύριο λόγο τόκους υπερημερίας που λογίζονται κατά την καθυστέρηση καταβολής των μισθωμάτων.  </w:t>
      </w:r>
    </w:p>
    <w:p w:rsidR="004B417C" w:rsidRPr="00CD1AEA" w:rsidRDefault="004B417C" w:rsidP="00CD1AE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rPr>
          <w:rFonts w:ascii="Tahoma" w:hAnsi="Tahoma" w:cs="Tahoma"/>
          <w:sz w:val="20"/>
          <w:lang w:val="el-GR"/>
        </w:rPr>
      </w:pPr>
    </w:p>
    <w:p w:rsidR="004B417C" w:rsidRDefault="004B417C" w:rsidP="0012635B">
      <w:pPr>
        <w:pStyle w:val="Heading2"/>
        <w:ind w:left="539" w:hanging="539"/>
        <w:rPr>
          <w:lang w:val="el-GR"/>
        </w:rPr>
      </w:pPr>
      <w:r w:rsidRPr="0012635B">
        <w:rPr>
          <w:lang w:val="el-GR"/>
        </w:rPr>
        <w:lastRenderedPageBreak/>
        <w:t>3.3</w:t>
      </w:r>
      <w:r w:rsidRPr="0012635B">
        <w:rPr>
          <w:lang w:val="el-GR"/>
        </w:rPr>
        <w:tab/>
        <w:t>Προμήθειες και Συναφή Έσοδα</w:t>
      </w:r>
    </w:p>
    <w:p w:rsidR="004B417C" w:rsidRPr="0012635B" w:rsidRDefault="004B417C" w:rsidP="0012635B">
      <w:pPr>
        <w:pStyle w:val="Heading2"/>
        <w:ind w:left="539" w:hanging="539"/>
        <w:rPr>
          <w:lang w:val="el-GR"/>
        </w:rPr>
      </w:pPr>
    </w:p>
    <w:p w:rsidR="004B417C" w:rsidRPr="0012635B" w:rsidRDefault="004B417C" w:rsidP="0012635B">
      <w:pPr>
        <w:pStyle w:val="Heading2"/>
        <w:tabs>
          <w:tab w:val="clear" w:pos="454"/>
          <w:tab w:val="clear" w:pos="680"/>
          <w:tab w:val="left" w:pos="0"/>
        </w:tabs>
        <w:jc w:val="both"/>
        <w:rPr>
          <w:b w:val="0"/>
          <w:lang w:val="el-GR"/>
        </w:rPr>
      </w:pPr>
      <w:r w:rsidRPr="0012635B">
        <w:rPr>
          <w:b w:val="0"/>
          <w:lang w:val="el-GR"/>
        </w:rPr>
        <w:t xml:space="preserve">Οι προμήθειες και τα συναφή έσοδα αναγνωρίζονται σε δεδουλευμένη βάση κατά τη διάρκεια της περιόδου στην οποία παρασχέθηκαν οι σχετικές με αυτά υπηρεσίες. Προμήθειες και συναφή έσοδα που προέρχονται από συναλλαγές για λογαριασμό τρίτων αναγνωρίζονται στα αποτελέσματα κατά το χρόνο περαίωσης της συναλλαγής. </w:t>
      </w:r>
    </w:p>
    <w:p w:rsidR="004B417C" w:rsidRPr="0012635B" w:rsidRDefault="004B417C" w:rsidP="0012635B">
      <w:pPr>
        <w:pStyle w:val="Heading2"/>
        <w:ind w:left="539" w:hanging="539"/>
        <w:rPr>
          <w:lang w:val="el-GR"/>
        </w:rPr>
      </w:pPr>
    </w:p>
    <w:p w:rsidR="004B417C" w:rsidRDefault="004B417C" w:rsidP="0054788E">
      <w:pPr>
        <w:pStyle w:val="Heading2"/>
        <w:ind w:left="539" w:hanging="539"/>
        <w:rPr>
          <w:lang w:val="el-GR"/>
        </w:rPr>
      </w:pPr>
      <w:r w:rsidRPr="0054788E">
        <w:rPr>
          <w:lang w:val="el-GR"/>
        </w:rPr>
        <w:t>3.4</w:t>
      </w:r>
      <w:r w:rsidRPr="0054788E">
        <w:rPr>
          <w:lang w:val="el-GR"/>
        </w:rPr>
        <w:tab/>
        <w:t>Καταβολές ενοικίων</w:t>
      </w:r>
    </w:p>
    <w:p w:rsidR="004B417C" w:rsidRPr="0054788E" w:rsidRDefault="004B417C" w:rsidP="0054788E">
      <w:pPr>
        <w:rPr>
          <w:lang w:val="el-GR"/>
        </w:rPr>
      </w:pPr>
    </w:p>
    <w:p w:rsidR="004B417C" w:rsidRPr="0054788E" w:rsidRDefault="004B417C" w:rsidP="0054788E">
      <w:pPr>
        <w:pStyle w:val="Heading2"/>
        <w:tabs>
          <w:tab w:val="clear" w:pos="454"/>
          <w:tab w:val="clear" w:pos="680"/>
          <w:tab w:val="left" w:pos="0"/>
        </w:tabs>
        <w:jc w:val="both"/>
        <w:rPr>
          <w:b w:val="0"/>
          <w:lang w:val="el-GR"/>
        </w:rPr>
      </w:pPr>
      <w:r w:rsidRPr="0054788E">
        <w:rPr>
          <w:b w:val="0"/>
          <w:lang w:val="el-GR"/>
        </w:rPr>
        <w:t>Οι καταβολές λειτουργικών μισθώσεων κατανέμονται ως δαπάνη στο λογαριασμό αποτελεσμάτων βάσει της άμεσης μεθόδου κατά τη διάρκεια της μίσθωσης. Οι ληφθείσες επιχορηγήσεις μισθώσεων καταχωρούνται στο λογαριασμό αποτελεσμάτων ως αναπόσπαστο μέρος της δαπάνης κατά τη διάρκεια της μίσθωσης.</w:t>
      </w:r>
    </w:p>
    <w:p w:rsidR="004B417C" w:rsidRPr="0054788E" w:rsidRDefault="004B417C" w:rsidP="0054788E">
      <w:pPr>
        <w:pStyle w:val="Heading2"/>
        <w:ind w:left="539" w:hanging="539"/>
        <w:rPr>
          <w:lang w:val="el-GR"/>
        </w:rPr>
      </w:pPr>
    </w:p>
    <w:p w:rsidR="004B417C" w:rsidRDefault="004B417C" w:rsidP="002A6211">
      <w:pPr>
        <w:pStyle w:val="Heading2"/>
        <w:ind w:left="539" w:hanging="539"/>
        <w:rPr>
          <w:lang w:val="el-GR"/>
        </w:rPr>
      </w:pPr>
      <w:bookmarkStart w:id="7" w:name="_Toc128477824"/>
      <w:r>
        <w:rPr>
          <w:lang w:val="el-GR"/>
        </w:rPr>
        <w:t>3.5</w:t>
      </w:r>
      <w:r>
        <w:rPr>
          <w:lang w:val="el-GR"/>
        </w:rPr>
        <w:tab/>
        <w:t>Φόρος Εισοδήματος</w:t>
      </w:r>
      <w:bookmarkEnd w:id="7"/>
    </w:p>
    <w:p w:rsidR="004B417C" w:rsidRPr="002A6211" w:rsidRDefault="004B417C" w:rsidP="002A6211">
      <w:pPr>
        <w:rPr>
          <w:lang w:val="el-GR"/>
        </w:rPr>
      </w:pPr>
    </w:p>
    <w:p w:rsidR="004B417C" w:rsidRPr="002A6211" w:rsidRDefault="004B417C" w:rsidP="002A6211">
      <w:pPr>
        <w:pStyle w:val="Heading2"/>
        <w:tabs>
          <w:tab w:val="clear" w:pos="454"/>
          <w:tab w:val="clear" w:pos="680"/>
          <w:tab w:val="left" w:pos="0"/>
        </w:tabs>
        <w:jc w:val="both"/>
        <w:rPr>
          <w:b w:val="0"/>
          <w:lang w:val="el-GR"/>
        </w:rPr>
      </w:pPr>
      <w:r w:rsidRPr="002A6211">
        <w:rPr>
          <w:b w:val="0"/>
          <w:lang w:val="el-GR"/>
        </w:rPr>
        <w:t>Ο φόρος εισοδήματος στα αποτελέσματα χρήσης αποτελείται από το φόρο της τρέχουσας χρήσης και από τον αναβαλλόμενο φόρο. Ο φόρος εισοδήματος αναγνωρίζεται στα αποτελέσματα χρήσης εκτός και αν σχετίζεται με στοιχεία που αναγνωρίζονται απευθείας στην καθαρή θέση οπότε και αναγνωρίζεται στην καθαρή θέση.</w:t>
      </w:r>
    </w:p>
    <w:p w:rsidR="004B417C" w:rsidRPr="002A6211" w:rsidRDefault="004B417C" w:rsidP="002A6211">
      <w:pPr>
        <w:jc w:val="both"/>
        <w:rPr>
          <w:rFonts w:eastAsia="Arial Unicode MS"/>
          <w:lang w:val="el-GR"/>
        </w:rPr>
      </w:pPr>
    </w:p>
    <w:p w:rsidR="004B417C" w:rsidRPr="002A6211" w:rsidRDefault="004B417C" w:rsidP="002A6211">
      <w:pPr>
        <w:pStyle w:val="Heading2"/>
        <w:tabs>
          <w:tab w:val="clear" w:pos="454"/>
          <w:tab w:val="left" w:pos="0"/>
        </w:tabs>
        <w:jc w:val="both"/>
        <w:rPr>
          <w:b w:val="0"/>
          <w:lang w:val="el-GR"/>
        </w:rPr>
      </w:pPr>
      <w:r w:rsidRPr="002A6211">
        <w:rPr>
          <w:b w:val="0"/>
          <w:lang w:val="el-GR"/>
        </w:rPr>
        <w:t>Ο φόρος της τρέχουσας χρήσης είναι η αναμενόμενη φορολογική υποχρέωση επί του φορολογητέου εισοδήματος, χρησιμοποιώντας τους ισχύοντες φορολογικούς συντελεστές και οποιαδήποτε αναπροσαρμογή που αφορά φορολογική υποχρέωση παρελθουσών χρήσεων.</w:t>
      </w:r>
    </w:p>
    <w:p w:rsidR="004B417C" w:rsidRPr="002A6211" w:rsidRDefault="004B417C" w:rsidP="002A6211">
      <w:pPr>
        <w:jc w:val="both"/>
        <w:rPr>
          <w:rFonts w:eastAsia="Arial Unicode MS"/>
          <w:lang w:val="el-GR"/>
        </w:rPr>
      </w:pPr>
    </w:p>
    <w:p w:rsidR="004B417C" w:rsidRPr="002A6211" w:rsidRDefault="004B417C" w:rsidP="002A6211">
      <w:pPr>
        <w:pStyle w:val="Heading2"/>
        <w:tabs>
          <w:tab w:val="clear" w:pos="454"/>
          <w:tab w:val="clear" w:pos="680"/>
          <w:tab w:val="left" w:pos="0"/>
        </w:tabs>
        <w:jc w:val="both"/>
        <w:rPr>
          <w:b w:val="0"/>
          <w:lang w:val="el-GR"/>
        </w:rPr>
      </w:pPr>
      <w:r w:rsidRPr="002A6211">
        <w:rPr>
          <w:b w:val="0"/>
          <w:lang w:val="el-GR"/>
        </w:rPr>
        <w:t>Ο αναβαλλόμενος φόρος υπολογίζεται με τη μέθοδο του ισολογισμού, βάσει των προσωρινών διαφορών οι οποίες προκύπτουν μεταξύ της λογιστικής αξίας των περιουσιακών στοιχείων και των υποχρεώσεων που περιλαμβάνονται στις Οικονομικές Καταστάσεις και της φορολογικής αξίας που αποδίδεται σε αυτά σύμφωνα με τη φορολογική νομοθεσία. Για τις ακόλουθες προσωρινές διαφορές δεν υπολογίζεται αναβαλλόμενος φόρος: υπεραξία που προκύπτει από εξαγορές που δεν εκπίπτει για φορολογικούς σκοπούς, η αρχική αναγνώριση περιουσιακών στοιχείων ή υποχρεώσεων που δεν επηρεάζουν είτε τα λογιστικά είτε τα φορολογικά κέρδη και διαφορές σχετιζόμενες με επενδύσεις σε θυγατρικές στην έκταση που αυτές δεν θα αναστραφούν στο άμεσο μέλλον.  Για τον προσδιορισμό της αναβαλλόμενης φορολογίας χρησιμοποιούνται οι θεσπισμένοι φορολογικοί συντελεστές ή οι φορολογικοί συντελεστές που έχουν θεσπιστεί κατά την ημερομηνία σύνταξης του ισολογισμού και έχουν εφαρμογή σε μεταγενέστερη ημερομηνία.</w:t>
      </w:r>
    </w:p>
    <w:p w:rsidR="004B417C" w:rsidRPr="002A6211" w:rsidRDefault="004B417C" w:rsidP="002A6211">
      <w:pPr>
        <w:jc w:val="both"/>
        <w:rPr>
          <w:rFonts w:eastAsia="Arial Unicode MS"/>
          <w:lang w:val="el-GR"/>
        </w:rPr>
      </w:pPr>
    </w:p>
    <w:p w:rsidR="004B417C" w:rsidRPr="002A6211" w:rsidRDefault="004B417C" w:rsidP="002A6211">
      <w:pPr>
        <w:pStyle w:val="Heading2"/>
        <w:tabs>
          <w:tab w:val="clear" w:pos="454"/>
          <w:tab w:val="clear" w:pos="680"/>
          <w:tab w:val="left" w:pos="0"/>
        </w:tabs>
        <w:jc w:val="both"/>
        <w:rPr>
          <w:b w:val="0"/>
          <w:lang w:val="el-GR"/>
        </w:rPr>
      </w:pPr>
      <w:r w:rsidRPr="002A6211">
        <w:rPr>
          <w:b w:val="0"/>
          <w:lang w:val="el-GR"/>
        </w:rPr>
        <w:t>Αναβαλλόμενη φορολογική απαίτηση αναγνωρίζεται μόνο στη περίπτωση που είναι πιθανόν τα μελλοντικά φορολογητέα κέρδη να είναι επαρκή για το συμψηφισμό των προσωρινών διαφορών. Η αναβαλλόμενη φορολογική απαίτηση μειώνεται σε περίπτωση που είναι πιθανόν να μην πραγματοποιηθεί το φορολογικό όφελος.</w:t>
      </w:r>
    </w:p>
    <w:p w:rsidR="004B417C" w:rsidRPr="00E84541" w:rsidRDefault="004B417C" w:rsidP="00AD3B74">
      <w:pPr>
        <w:pStyle w:val="Heading2"/>
        <w:tabs>
          <w:tab w:val="clear" w:pos="454"/>
          <w:tab w:val="clear" w:pos="907"/>
          <w:tab w:val="left" w:pos="0"/>
        </w:tabs>
        <w:jc w:val="both"/>
        <w:rPr>
          <w:lang w:val="el-GR"/>
        </w:rPr>
      </w:pPr>
      <w:r>
        <w:rPr>
          <w:lang w:val="el-GR"/>
        </w:rPr>
        <w:br/>
        <w:t>3.6</w:t>
      </w:r>
      <w:r w:rsidRPr="00E84541">
        <w:rPr>
          <w:lang w:val="el-GR"/>
        </w:rPr>
        <w:t xml:space="preserve"> </w:t>
      </w:r>
      <w:r>
        <w:rPr>
          <w:lang w:val="el-GR"/>
        </w:rPr>
        <w:t>Χρηματοοικονομικά περιουσιακά στοιχεία</w:t>
      </w:r>
    </w:p>
    <w:p w:rsidR="004B417C" w:rsidRDefault="004B417C" w:rsidP="00AD3B74">
      <w:pPr>
        <w:pStyle w:val="BodyText"/>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after="0"/>
        <w:jc w:val="both"/>
        <w:rPr>
          <w:lang w:val="el-GR"/>
        </w:rPr>
      </w:pPr>
    </w:p>
    <w:p w:rsidR="004B417C" w:rsidRDefault="004B417C" w:rsidP="00AD3B74">
      <w:pPr>
        <w:pStyle w:val="BodyText"/>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after="0"/>
        <w:jc w:val="both"/>
        <w:rPr>
          <w:u w:val="single"/>
          <w:lang w:val="el-GR"/>
        </w:rPr>
      </w:pPr>
      <w:r w:rsidRPr="00EC37B0">
        <w:rPr>
          <w:u w:val="single"/>
          <w:lang w:val="el-GR"/>
        </w:rPr>
        <w:t>Αρχική Αναγνώριση</w:t>
      </w:r>
    </w:p>
    <w:p w:rsidR="004B417C" w:rsidRPr="00EC37B0" w:rsidRDefault="004B417C" w:rsidP="00AD3B74">
      <w:pPr>
        <w:pStyle w:val="BodyText"/>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after="0"/>
        <w:jc w:val="both"/>
        <w:rPr>
          <w:u w:val="single"/>
          <w:lang w:val="el-GR"/>
        </w:rPr>
      </w:pPr>
    </w:p>
    <w:p w:rsidR="004B417C" w:rsidRDefault="004B417C" w:rsidP="00AD3B74">
      <w:pPr>
        <w:pStyle w:val="BodyText"/>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after="0"/>
        <w:jc w:val="both"/>
        <w:rPr>
          <w:lang w:val="el-GR"/>
        </w:rPr>
      </w:pPr>
      <w:r>
        <w:rPr>
          <w:lang w:val="el-GR"/>
        </w:rPr>
        <w:t>Οι χρηματοοικονομικές απαιτήσεις και οι χρηματοοικονομικές υποχρεώσεις στην κατάσταση οικονομικής θέσης περιλαμβάνουν τα διαθέσιμα, τις απαιτήσεις από χρηματοδοτικές μισθώσεις, τις λοιπές απαιτήσεις, τις συμμετοχές, τα χρεόγραφα, τις βραχυπρόθεσμες και μακροπρόθεσμες υποχρεώσεις.</w:t>
      </w:r>
    </w:p>
    <w:p w:rsidR="003153C2" w:rsidRDefault="003153C2" w:rsidP="00AD3B74">
      <w:pPr>
        <w:pStyle w:val="BodyText"/>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after="0"/>
        <w:jc w:val="both"/>
        <w:rPr>
          <w:lang w:val="el-GR"/>
        </w:rPr>
      </w:pPr>
    </w:p>
    <w:p w:rsidR="004B417C" w:rsidRPr="003739B3" w:rsidRDefault="004B417C" w:rsidP="00AD3B74">
      <w:pPr>
        <w:pStyle w:val="BodyText"/>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after="0"/>
        <w:jc w:val="both"/>
        <w:rPr>
          <w:lang w:val="el-GR"/>
        </w:rPr>
      </w:pPr>
      <w:r>
        <w:rPr>
          <w:lang w:val="el-GR"/>
        </w:rPr>
        <w:lastRenderedPageBreak/>
        <w:t xml:space="preserve">Η Εταιρεία ταξινομεί τα χρεόγραφα ως επενδύσεις διαθέσιμες προς πώληση. Η απόφαση για την ταξινόμηση των επενδύσεων λαμβάνεται κατά την απόκτησή τους.  Αρχικά όλες οι επενδύσεις καταχωρούνται με βάση την ημερομηνία συναλλαγής και αποτιμούνται στην αξία κτήσης, που είναι η εύλογη αξία της αντιπαροχής που καταβάλλεται, συμπεριλαμβανομένων των εξόδων αγοράς που σχετίζονται με την επένδυση. </w:t>
      </w:r>
    </w:p>
    <w:p w:rsidR="004B417C" w:rsidRDefault="004B417C" w:rsidP="00AD3B74">
      <w:pPr>
        <w:pStyle w:val="BodyText"/>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after="0"/>
        <w:jc w:val="both"/>
        <w:rPr>
          <w:lang w:val="el-GR"/>
        </w:rPr>
      </w:pPr>
    </w:p>
    <w:p w:rsidR="004B417C" w:rsidRDefault="004B417C" w:rsidP="00AD3B74">
      <w:pPr>
        <w:pStyle w:val="BodyText"/>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after="0"/>
        <w:jc w:val="both"/>
        <w:rPr>
          <w:lang w:val="el-GR"/>
        </w:rPr>
      </w:pPr>
      <w:r>
        <w:rPr>
          <w:lang w:val="el-GR"/>
        </w:rPr>
        <w:t>Οι επενδύσεις σε χρεόγραφα διαθέσιμα προς πώληση αφορούν επενδύσεις οι οποίες μπορεί είτε να κρατούνται μέχρι τη λήξη ή να πωληθούν προκειμένου να ικανοποιηθούν ανάγκες ρευστότητας ή να επιτευχθούν κέρδη από μεταβολή των επιτοκίων ή της τιμής ξένων νομισμάτων. Έπειτα από την αρχική καταχώρησή τους, οι επενδύσεις που έχουν ταξινομηθεί ως διαθέσιμες προς πώληση αποτιμώνται στην εύλογη αξία τους. Τα κέρδη ή οι ζημίες που προκύπτουν από την αποτίμηση των διαθέσιμων προς πώληση επενδύσεων καταχωρούνται σε ξεχωριστό λογαριασμό της καθαρής θέσης έως ότου εκποιηθούν ή εισπραχθούν ή διαπιστωθεί ότι υπάρχει απομείωση στην αξία τους, οπότε και μεταφέρονται στην κατάσταση αποτελεσμάτων χρήσης.</w:t>
      </w:r>
    </w:p>
    <w:p w:rsidR="004B417C" w:rsidRDefault="004B417C" w:rsidP="00AD3B74">
      <w:pPr>
        <w:pStyle w:val="BodyText"/>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after="0"/>
        <w:jc w:val="both"/>
        <w:rPr>
          <w:lang w:val="el-GR"/>
        </w:rPr>
      </w:pPr>
    </w:p>
    <w:p w:rsidR="004B417C" w:rsidRDefault="004B417C" w:rsidP="00EC37B0">
      <w:pPr>
        <w:pStyle w:val="BodyText"/>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after="0"/>
        <w:jc w:val="both"/>
        <w:rPr>
          <w:lang w:val="el-GR"/>
        </w:rPr>
      </w:pPr>
      <w:r>
        <w:rPr>
          <w:lang w:val="el-GR"/>
        </w:rPr>
        <w:t xml:space="preserve">Η Εταιρεία δεν κάνει χρήση παράγωγων χρηματοοικονομικών προϊόντων ούτε για αντιστάθμιση κινδύνων ούτε για κερδοσκοπικούς σκοπούς. </w:t>
      </w:r>
    </w:p>
    <w:p w:rsidR="004B417C" w:rsidRDefault="004B417C" w:rsidP="00EC37B0">
      <w:pPr>
        <w:pStyle w:val="BodyText"/>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after="0"/>
        <w:jc w:val="both"/>
        <w:rPr>
          <w:lang w:val="el-GR"/>
        </w:rPr>
      </w:pPr>
    </w:p>
    <w:p w:rsidR="004B417C" w:rsidRPr="00EC37B0" w:rsidRDefault="004B417C" w:rsidP="00EC37B0">
      <w:pPr>
        <w:pStyle w:val="Heading2"/>
        <w:tabs>
          <w:tab w:val="clear" w:pos="454"/>
          <w:tab w:val="clear" w:pos="680"/>
          <w:tab w:val="left" w:pos="142"/>
        </w:tabs>
        <w:ind w:left="426" w:hanging="426"/>
        <w:jc w:val="both"/>
        <w:rPr>
          <w:b w:val="0"/>
          <w:u w:val="single"/>
          <w:lang w:val="el-GR"/>
        </w:rPr>
      </w:pPr>
      <w:bookmarkStart w:id="8" w:name="_Toc128477814"/>
      <w:r w:rsidRPr="00EC37B0">
        <w:rPr>
          <w:b w:val="0"/>
          <w:u w:val="single"/>
          <w:lang w:val="el-GR"/>
        </w:rPr>
        <w:t xml:space="preserve">Παύση </w:t>
      </w:r>
      <w:bookmarkEnd w:id="8"/>
      <w:r w:rsidRPr="00EC37B0">
        <w:rPr>
          <w:b w:val="0"/>
          <w:u w:val="single"/>
          <w:lang w:val="el-GR"/>
        </w:rPr>
        <w:t>αναγνώρισης</w:t>
      </w:r>
    </w:p>
    <w:p w:rsidR="004B417C" w:rsidRDefault="004B417C" w:rsidP="00EC37B0">
      <w:pPr>
        <w:jc w:val="both"/>
        <w:rPr>
          <w:b/>
          <w:sz w:val="20"/>
          <w:lang w:val="el-GR"/>
        </w:rPr>
      </w:pPr>
    </w:p>
    <w:p w:rsidR="004B417C" w:rsidRDefault="004B417C" w:rsidP="00EC37B0">
      <w:pPr>
        <w:pStyle w:val="BodyText"/>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after="0"/>
        <w:jc w:val="both"/>
        <w:rPr>
          <w:lang w:val="el-GR"/>
        </w:rPr>
      </w:pPr>
      <w:r>
        <w:rPr>
          <w:lang w:val="el-GR"/>
        </w:rPr>
        <w:t>Ένα χρηματοοικονομικό περιουσιακό στοιχείο δεν απεικονίζεται στις οικονομικές καταστάσεις της Εταιρείας από τη στιγμή που η Εταιρεία παύει να έχει τον έλεγχο των συμβατικών δικαιωμάτων που απορρέουν από το χρηματοοικονομικό μέσο. Ο έλεγχος των δικαιωμάτων του χρηματοοικονομικού μέσου παύει να υφίσταται ή όταν πωληθεί ή όταν οι ταμειακές εισροές, που σχετίζονται με αυτό, μεταβιβαστούν σε ένα ανεξάρτητο τρίτο μέρος.</w:t>
      </w:r>
    </w:p>
    <w:p w:rsidR="004B417C" w:rsidRDefault="004B417C" w:rsidP="00AD3B74">
      <w:pPr>
        <w:pStyle w:val="BodyText"/>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after="0"/>
        <w:jc w:val="both"/>
        <w:rPr>
          <w:lang w:val="el-GR"/>
        </w:rPr>
      </w:pPr>
    </w:p>
    <w:p w:rsidR="004B417C" w:rsidRPr="00EC37B0" w:rsidRDefault="004B417C" w:rsidP="00AD3B74">
      <w:pPr>
        <w:pStyle w:val="BodyText"/>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after="0"/>
        <w:jc w:val="both"/>
        <w:rPr>
          <w:u w:val="single"/>
          <w:lang w:val="el-GR"/>
        </w:rPr>
      </w:pPr>
      <w:r w:rsidRPr="00EC37B0">
        <w:rPr>
          <w:u w:val="single"/>
          <w:lang w:val="el-GR"/>
        </w:rPr>
        <w:t>Αποτίμηση</w:t>
      </w:r>
    </w:p>
    <w:p w:rsidR="004B417C" w:rsidRDefault="004B417C" w:rsidP="00AD3B74">
      <w:pPr>
        <w:pStyle w:val="BodyText"/>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after="0"/>
        <w:jc w:val="both"/>
        <w:rPr>
          <w:lang w:val="el-GR"/>
        </w:rPr>
      </w:pPr>
    </w:p>
    <w:p w:rsidR="004B417C" w:rsidRDefault="004B417C" w:rsidP="00AD3B74">
      <w:pPr>
        <w:pStyle w:val="BodyText"/>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after="0"/>
        <w:jc w:val="both"/>
        <w:rPr>
          <w:lang w:val="el-GR"/>
        </w:rPr>
      </w:pPr>
      <w:r>
        <w:rPr>
          <w:lang w:val="el-GR"/>
        </w:rPr>
        <w:t>Επενδύσεις που διαπραγματεύονται σε οργανωμένες χρηματαγορές αποτιμώνται στην εύλογη αξία τους, η οποία προσδιορίζεται με βάση την τρέχουσα χρηματιστηριακή αξία την ημέρα κλεισίματος των οικονομικών καταστάσεων. Επενδύσεις σε μη εισηγμένους τίτλους αποτιμώνται στην αξία κτήσης τους μείον την τυχόν υπάρχουσα απαξίωσή τους.</w:t>
      </w:r>
    </w:p>
    <w:p w:rsidR="004B417C" w:rsidRPr="00FE72E8"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b/>
          <w:lang w:val="el-GR"/>
        </w:rPr>
      </w:pPr>
      <w:bookmarkStart w:id="9" w:name="_Toc128477813"/>
      <w:bookmarkStart w:id="10" w:name="_Toc117926481"/>
      <w:bookmarkStart w:id="11" w:name="_Toc128477812"/>
    </w:p>
    <w:p w:rsidR="004B417C" w:rsidRPr="00EC37B0" w:rsidRDefault="004B417C" w:rsidP="006D071E">
      <w:pPr>
        <w:pStyle w:val="Heading2"/>
        <w:ind w:left="539" w:hanging="539"/>
        <w:rPr>
          <w:b w:val="0"/>
          <w:u w:val="single"/>
          <w:lang w:val="el-GR"/>
        </w:rPr>
      </w:pPr>
      <w:r w:rsidRPr="00EC37B0">
        <w:rPr>
          <w:b w:val="0"/>
          <w:u w:val="single"/>
          <w:lang w:val="el-GR"/>
        </w:rPr>
        <w:t>Συμψηφισμός</w:t>
      </w:r>
      <w:bookmarkEnd w:id="9"/>
    </w:p>
    <w:p w:rsidR="004B417C" w:rsidRDefault="004B417C" w:rsidP="006D071E">
      <w:pPr>
        <w:rPr>
          <w:b/>
          <w:sz w:val="20"/>
          <w:lang w:val="el-GR"/>
        </w:rPr>
      </w:pPr>
    </w:p>
    <w:p w:rsidR="004B417C" w:rsidRDefault="004B417C" w:rsidP="00AD3B74">
      <w:pPr>
        <w:pStyle w:val="BodyText"/>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after="0"/>
        <w:jc w:val="both"/>
        <w:rPr>
          <w:lang w:val="el-GR"/>
        </w:rPr>
      </w:pPr>
      <w:r>
        <w:rPr>
          <w:lang w:val="el-GR"/>
        </w:rPr>
        <w:t>Ο συμψηφισμός χρηματοοικονομικών περιουσιακών στοιχείων με υποχρεώσεις και η απεικόνιση του καθαρού ποσού στις Οικονομικές Καταστάσεις πραγματοποιείται μόνο εφόσον υπάρχει νόμιμο δικαίωμα για συμψηφισμό των καταχωρημένων ποσών και υπάρχει πρόθεση είτε για διακανονισμό του καθαρού ποσού που προκύπτει από τον συμψηφισμό ή για ταυτόχρονο διακανονισμό του συνολικού ποσού τόσο του χρηματοοικονομικού περιουσιακού στοιχείου όσο και της υποχρέωσης.</w:t>
      </w:r>
    </w:p>
    <w:p w:rsidR="004B417C" w:rsidRPr="00CB5AE7" w:rsidRDefault="004B417C" w:rsidP="00AD3B74">
      <w:pPr>
        <w:jc w:val="both"/>
        <w:rPr>
          <w:lang w:val="el-GR"/>
        </w:rPr>
      </w:pPr>
    </w:p>
    <w:p w:rsidR="004B417C" w:rsidRDefault="004B417C" w:rsidP="00AD3B74">
      <w:pPr>
        <w:pStyle w:val="Heading2"/>
        <w:ind w:left="539" w:hanging="539"/>
        <w:jc w:val="both"/>
        <w:rPr>
          <w:lang w:val="el-GR"/>
        </w:rPr>
      </w:pPr>
      <w:r>
        <w:rPr>
          <w:lang w:val="el-GR"/>
        </w:rPr>
        <w:t>3.7</w:t>
      </w:r>
      <w:r>
        <w:rPr>
          <w:lang w:val="el-GR"/>
        </w:rPr>
        <w:tab/>
        <w:t>Χρηματοδοτικές μισθώσεις</w:t>
      </w:r>
    </w:p>
    <w:p w:rsidR="004B417C" w:rsidRDefault="004B417C" w:rsidP="00AD3B74">
      <w:pPr>
        <w:pStyle w:val="BodyText3"/>
        <w:tabs>
          <w:tab w:val="clear" w:pos="0"/>
          <w:tab w:val="clear" w:pos="680"/>
          <w:tab w:val="clear" w:pos="864"/>
          <w:tab w:val="clear" w:pos="1440"/>
          <w:tab w:val="clear" w:pos="2160"/>
          <w:tab w:val="clear" w:pos="2880"/>
          <w:tab w:val="clear" w:pos="3600"/>
          <w:tab w:val="clear" w:pos="4320"/>
          <w:tab w:val="clear" w:pos="5040"/>
          <w:tab w:val="clear" w:pos="5760"/>
          <w:tab w:val="clear" w:pos="6480"/>
          <w:tab w:val="clear" w:pos="7200"/>
          <w:tab w:val="clear" w:pos="8010"/>
          <w:tab w:val="clear" w:pos="8640"/>
          <w:tab w:val="clear" w:pos="9360"/>
          <w:tab w:val="clear" w:pos="10080"/>
          <w:tab w:val="clear" w:pos="10800"/>
          <w:tab w:val="clear" w:pos="11520"/>
        </w:tabs>
        <w:spacing w:line="240" w:lineRule="auto"/>
        <w:rPr>
          <w:lang w:val="el-GR"/>
        </w:rPr>
      </w:pPr>
    </w:p>
    <w:p w:rsidR="004B417C" w:rsidRDefault="004B417C" w:rsidP="00AD3B74">
      <w:pPr>
        <w:pStyle w:val="BodyText3"/>
        <w:tabs>
          <w:tab w:val="clear" w:pos="0"/>
          <w:tab w:val="clear" w:pos="680"/>
          <w:tab w:val="clear" w:pos="864"/>
          <w:tab w:val="clear" w:pos="1440"/>
          <w:tab w:val="clear" w:pos="2160"/>
          <w:tab w:val="clear" w:pos="2880"/>
          <w:tab w:val="clear" w:pos="3600"/>
          <w:tab w:val="clear" w:pos="4320"/>
          <w:tab w:val="clear" w:pos="5040"/>
          <w:tab w:val="clear" w:pos="5760"/>
          <w:tab w:val="clear" w:pos="6480"/>
          <w:tab w:val="clear" w:pos="7200"/>
          <w:tab w:val="clear" w:pos="8010"/>
          <w:tab w:val="clear" w:pos="8640"/>
          <w:tab w:val="clear" w:pos="9360"/>
          <w:tab w:val="clear" w:pos="10080"/>
          <w:tab w:val="clear" w:pos="10800"/>
          <w:tab w:val="clear" w:pos="11520"/>
        </w:tabs>
        <w:spacing w:line="240" w:lineRule="auto"/>
        <w:rPr>
          <w:lang w:val="el-GR"/>
        </w:rPr>
      </w:pPr>
      <w:r>
        <w:rPr>
          <w:lang w:val="el-GR"/>
        </w:rPr>
        <w:t>Όταν οι κίνδυνοι και τα οφέλη περιουσιακών στοιχείων που εκμισθώνονται, μεταφέρονται στον μισθωτή τότε τα περιουσιακά στοιχεία αυτά απεικονίζονται ως απαιτήσεις από χρηματοδοτικές μισθώσεις. Οι απαιτήσεις από χρηματοδοτικές μισθώσεις, αναγνωρίζονται στην παρούσα αξία των μισθωμάτων. Η διαφορά μεταξύ της συνολικής απαίτησης και της παρούσας αξίας των μισθωμάτων αναγνωρίζεται κατά τη διάρκεια της μίσθωσης στα αποτελέσματα χρήσης ως έσοδα από τόκους.</w:t>
      </w:r>
    </w:p>
    <w:p w:rsidR="004B417C" w:rsidRDefault="004B417C" w:rsidP="00AD3B74">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17"/>
          <w:lang w:val="el-GR"/>
        </w:rPr>
      </w:pPr>
    </w:p>
    <w:p w:rsidR="004B417C" w:rsidRDefault="004B417C" w:rsidP="00AD3B74">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17"/>
          <w:lang w:val="el-GR"/>
        </w:rPr>
      </w:pPr>
      <w:r>
        <w:rPr>
          <w:szCs w:val="17"/>
          <w:lang w:val="el-GR"/>
        </w:rPr>
        <w:t xml:space="preserve">Η Εταιρεία σχηματίζει προβλέψεις για την απομείωση απαιτήσεων εάν υπάρχουν βάσιμες ενδείξεις ότι δεν θα εισπραχθεί το σύνολο ή μέρος των απαιτήσεών της σύμφωνα </w:t>
      </w:r>
      <w:r>
        <w:rPr>
          <w:szCs w:val="17"/>
          <w:lang w:val="el-GR"/>
        </w:rPr>
        <w:lastRenderedPageBreak/>
        <w:t xml:space="preserve">με τους όρους αποπληρωμής των συμβάσεων. Το ύψος της προβλέψεως ισούται με τη διαφορά μεταξύ της λογιστικοποιηθείσας απαίτησης και της εκτιμώμενης ανακτήσιμης αξίας αυτής. Η ανακτήσιμη αξία είναι η παρούσα αξία των μελλοντικών ταμειακών εισροών των επισφαλών συμβάσεων, συμπεριλαμβανομένων των όποιων εξασφαλίσεων και καλυμμάτων, προεξοφλημένων με βάση το πραγματικό επιτόκιο της συμβάσεως. </w:t>
      </w:r>
    </w:p>
    <w:p w:rsidR="004B417C" w:rsidRDefault="004B417C" w:rsidP="00AD3B74">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17"/>
          <w:lang w:val="el-GR"/>
        </w:rPr>
      </w:pPr>
    </w:p>
    <w:p w:rsidR="004B417C" w:rsidRDefault="004B417C" w:rsidP="00AD3B74">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17"/>
          <w:lang w:val="el-GR"/>
        </w:rPr>
      </w:pPr>
      <w:r>
        <w:rPr>
          <w:szCs w:val="17"/>
          <w:lang w:val="el-GR"/>
        </w:rPr>
        <w:t>Όταν μία απαίτηση κρίνεται ανεπίδεκτη εισπράξεως διαγράφεται σε βάρος της σχηματισθείσης προβλέψεως. Μεταγενέστερες αναβιώσεις διεγραμμένων απαιτήσεων αναγνωρίζονται στα αποτελέσματα της χρήσεως, αφαιρετικά των προβλέψεων για απομείωση απαιτήσεων. Αν το ποσό της αναγνωρισμένης προβλέψεως για απομείωση απαιτήσεων κριθεί υπερεκτιμημένο, μειώνεται και η μείωση αυτή λογίζεται σε αύξηση των αποτελεσμάτων της χρήσεως.</w:t>
      </w:r>
    </w:p>
    <w:p w:rsidR="004B417C" w:rsidRDefault="004B417C" w:rsidP="00AD3B74">
      <w:pPr>
        <w:jc w:val="both"/>
        <w:rPr>
          <w:lang w:val="el-GR"/>
        </w:rPr>
      </w:pPr>
    </w:p>
    <w:p w:rsidR="004B417C" w:rsidRDefault="004B417C" w:rsidP="00AD3B74">
      <w:pPr>
        <w:pStyle w:val="Heading2"/>
        <w:ind w:left="539" w:hanging="539"/>
        <w:jc w:val="both"/>
        <w:rPr>
          <w:lang w:val="el-GR"/>
        </w:rPr>
      </w:pPr>
      <w:r>
        <w:rPr>
          <w:lang w:val="el-GR"/>
        </w:rPr>
        <w:t>3.8</w:t>
      </w:r>
      <w:r>
        <w:rPr>
          <w:lang w:val="el-GR"/>
        </w:rPr>
        <w:tab/>
        <w:t>Επενδύσεις σε ακίνητα</w:t>
      </w:r>
    </w:p>
    <w:p w:rsidR="004B417C" w:rsidRDefault="004B417C" w:rsidP="00AD3B74">
      <w:pPr>
        <w:jc w:val="both"/>
        <w:rPr>
          <w:lang w:val="el-GR"/>
        </w:rPr>
      </w:pPr>
    </w:p>
    <w:p w:rsidR="004B417C" w:rsidRPr="003B490A" w:rsidRDefault="004B417C" w:rsidP="004B478B">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22"/>
          <w:lang w:val="el-GR"/>
        </w:rPr>
      </w:pPr>
      <w:r w:rsidRPr="003B490A">
        <w:rPr>
          <w:szCs w:val="22"/>
          <w:lang w:val="el-GR"/>
        </w:rPr>
        <w:t>Οικόπεδα και κτίρια που κατέχονται από την Εταιρεία για ενοικίαση ή για κεφαλαιουχικό κέρδος ή και για τα δύο, ταξινομούνται ως επενδύσεις σε ακίνητα. Οι επενδύσεις σε ακίνητα αποτιμώνται στην αξία κτήσης τους μείον τις σωρευμένες αποσβέσεις και σωρευμένες απομειώσεις.</w:t>
      </w:r>
      <w:bookmarkStart w:id="12" w:name="_Toc128477816"/>
      <w:r w:rsidRPr="003B490A">
        <w:rPr>
          <w:szCs w:val="22"/>
          <w:lang w:val="el-GR"/>
        </w:rPr>
        <w:t xml:space="preserve"> Με ισχύ από 31/12/2011, εξαιτίας της αλλαγής στη βάση</w:t>
      </w:r>
    </w:p>
    <w:p w:rsidR="004B417C" w:rsidRPr="003B490A" w:rsidRDefault="004B417C" w:rsidP="004B478B">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22"/>
          <w:lang w:val="el-GR"/>
        </w:rPr>
      </w:pPr>
      <w:r w:rsidRPr="003B490A">
        <w:rPr>
          <w:szCs w:val="22"/>
          <w:lang w:val="el-GR"/>
        </w:rPr>
        <w:t xml:space="preserve">παρουσίασης των οικονομικών καταστάσεων, τα επενδυτικά ακίνητα της Εταιρείας απεικονίζονται στη χαμηλότερη </w:t>
      </w:r>
      <w:r>
        <w:rPr>
          <w:szCs w:val="22"/>
          <w:lang w:val="el-GR"/>
        </w:rPr>
        <w:t xml:space="preserve">τιμή </w:t>
      </w:r>
      <w:r w:rsidRPr="003B490A">
        <w:rPr>
          <w:szCs w:val="22"/>
          <w:lang w:val="el-GR"/>
        </w:rPr>
        <w:t>μεταξύ της εκτιμώμενης τιμής πώλησης και του αναπόσβεστου κόστους.</w:t>
      </w:r>
    </w:p>
    <w:p w:rsidR="004B417C" w:rsidRPr="00982866" w:rsidRDefault="004B417C" w:rsidP="001F1210">
      <w:pPr>
        <w:pStyle w:val="BodyText3"/>
        <w:ind w:right="-2"/>
        <w:rPr>
          <w:lang w:val="el-GR"/>
        </w:rPr>
      </w:pPr>
    </w:p>
    <w:p w:rsidR="004B417C" w:rsidRDefault="004B417C" w:rsidP="007F1FB1">
      <w:pPr>
        <w:pStyle w:val="Heading2"/>
        <w:ind w:left="539" w:hanging="539"/>
        <w:rPr>
          <w:lang w:val="el-GR"/>
        </w:rPr>
      </w:pPr>
      <w:r>
        <w:rPr>
          <w:lang w:val="el-GR"/>
        </w:rPr>
        <w:t>3.9</w:t>
      </w:r>
      <w:r>
        <w:rPr>
          <w:lang w:val="el-GR"/>
        </w:rPr>
        <w:tab/>
        <w:t xml:space="preserve">Ενσώματες ακινητοποιήσεις </w:t>
      </w:r>
      <w:bookmarkEnd w:id="12"/>
    </w:p>
    <w:p w:rsidR="004B417C" w:rsidRDefault="004B417C" w:rsidP="007F1FB1">
      <w:pPr>
        <w:pStyle w:val="BodyText3"/>
        <w:jc w:val="left"/>
        <w:rPr>
          <w:szCs w:val="24"/>
          <w:lang w:val="el-GR"/>
        </w:rPr>
      </w:pPr>
    </w:p>
    <w:p w:rsidR="004B417C" w:rsidRPr="003A68D5" w:rsidRDefault="004B417C" w:rsidP="00AD3B74">
      <w:pPr>
        <w:pStyle w:val="BodyText"/>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after="0"/>
        <w:jc w:val="both"/>
        <w:rPr>
          <w:lang w:val="el-GR"/>
        </w:rPr>
      </w:pPr>
      <w:r w:rsidRPr="003A68D5">
        <w:rPr>
          <w:lang w:val="el-GR"/>
        </w:rPr>
        <w:t xml:space="preserve">Τα ενσώματα περιουσιακά στοιχεία είναι ιδιοχρησιμοποιούμενα είτε για τις λειτουργικές εργασίες της Εταιρείας είτε για διοικητικούς σκοπούς. Τα ενσώματα περιουσιακά στοιχεία περιλαμβάνουν οικόπεδα, κτίρια, βελτιώσεις μισθωμένων ακινήτων, έπιπλα και λοιπό εξοπλισμό και μεταφορικά μέσα. Τα ενσώματα περιουσιακά στοιχεία αποτιμούνται στην αξία κτήσης μείον τις σωρευμένες αποσβέσεις και σωρευμένες απομειώσεις.   </w:t>
      </w:r>
    </w:p>
    <w:p w:rsidR="004B417C" w:rsidRPr="003A68D5" w:rsidRDefault="004B417C" w:rsidP="00AD3B74">
      <w:pPr>
        <w:pStyle w:val="BodyText"/>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after="0"/>
        <w:jc w:val="both"/>
        <w:rPr>
          <w:lang w:val="el-GR"/>
        </w:rPr>
      </w:pPr>
    </w:p>
    <w:p w:rsidR="004B417C" w:rsidRPr="003A68D5" w:rsidRDefault="004B417C" w:rsidP="00AD3B74">
      <w:pPr>
        <w:pStyle w:val="BodyText"/>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after="0"/>
        <w:jc w:val="both"/>
        <w:rPr>
          <w:lang w:val="el-GR"/>
        </w:rPr>
      </w:pPr>
      <w:r w:rsidRPr="003A68D5">
        <w:rPr>
          <w:lang w:val="el-GR"/>
        </w:rPr>
        <w:t xml:space="preserve">Αποσβέσεις: Τα οικόπεδα δεν αποσβένονται. Τα υπόλοιπα ενσώματα περιουσιακά στοιχεία αποσβένονται με βάση τη μέθοδο της σταθερής απόσβεσης κατά τη διάρκεια της αναμενόμενης ωφέλιμης ζωής τους, η οποία επανεξετάζεται σε ετήσια βάση.  </w:t>
      </w:r>
      <w:r w:rsidRPr="003A68D5">
        <w:rPr>
          <w:lang w:val="el-GR"/>
        </w:rPr>
        <w:br/>
        <w:t>Η ωφέλιμη ζωή των ενσώματων περιουσιακών στοιχείων ανά κατηγορία έχει ως εξής :</w:t>
      </w:r>
    </w:p>
    <w:p w:rsidR="004B417C" w:rsidRPr="003A68D5" w:rsidRDefault="004B417C" w:rsidP="007F1FB1">
      <w:pPr>
        <w:pStyle w:val="BodyText"/>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after="0"/>
        <w:jc w:val="both"/>
        <w:rPr>
          <w:lang w:val="el-GR"/>
        </w:rPr>
      </w:pPr>
    </w:p>
    <w:p w:rsidR="004B417C" w:rsidRPr="003A68D5" w:rsidRDefault="004B417C" w:rsidP="007F1FB1">
      <w:pPr>
        <w:pStyle w:val="BodyText"/>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after="0"/>
        <w:jc w:val="both"/>
        <w:rPr>
          <w:lang w:val="el-GR"/>
        </w:rPr>
      </w:pPr>
      <w:r w:rsidRPr="003A68D5">
        <w:rPr>
          <w:lang w:val="el-GR"/>
        </w:rPr>
        <w:t>Κτίρια</w:t>
      </w:r>
      <w:r w:rsidRPr="003A68D5">
        <w:rPr>
          <w:lang w:val="el-GR"/>
        </w:rPr>
        <w:tab/>
      </w:r>
      <w:r w:rsidRPr="003A68D5">
        <w:rPr>
          <w:lang w:val="el-GR"/>
        </w:rPr>
        <w:tab/>
      </w:r>
      <w:r w:rsidRPr="003A68D5">
        <w:rPr>
          <w:lang w:val="el-GR"/>
        </w:rPr>
        <w:tab/>
      </w:r>
      <w:r w:rsidRPr="003A68D5">
        <w:rPr>
          <w:lang w:val="el-GR"/>
        </w:rPr>
        <w:tab/>
      </w:r>
      <w:r w:rsidRPr="003A68D5">
        <w:rPr>
          <w:lang w:val="el-GR"/>
        </w:rPr>
        <w:tab/>
      </w:r>
      <w:r w:rsidRPr="003A68D5">
        <w:rPr>
          <w:lang w:val="el-GR"/>
        </w:rPr>
        <w:tab/>
      </w:r>
      <w:r w:rsidRPr="003A68D5">
        <w:rPr>
          <w:lang w:val="el-GR"/>
        </w:rPr>
        <w:tab/>
      </w:r>
      <w:r w:rsidRPr="003A68D5">
        <w:rPr>
          <w:lang w:val="el-GR"/>
        </w:rPr>
        <w:tab/>
      </w:r>
      <w:r w:rsidRPr="003A68D5">
        <w:rPr>
          <w:lang w:val="el-GR"/>
        </w:rPr>
        <w:tab/>
        <w:t>40 – 50 έτη</w:t>
      </w:r>
    </w:p>
    <w:p w:rsidR="004B417C" w:rsidRPr="003A68D5" w:rsidRDefault="004B417C" w:rsidP="007F1FB1">
      <w:pPr>
        <w:pStyle w:val="BodyText"/>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after="0"/>
        <w:jc w:val="both"/>
        <w:rPr>
          <w:lang w:val="el-GR"/>
        </w:rPr>
      </w:pPr>
      <w:r w:rsidRPr="003A68D5">
        <w:rPr>
          <w:lang w:val="el-GR"/>
        </w:rPr>
        <w:t>Έπιπλα και λοιπός εξοπλισμός</w:t>
      </w:r>
      <w:r w:rsidRPr="003A68D5">
        <w:rPr>
          <w:lang w:val="el-GR"/>
        </w:rPr>
        <w:tab/>
      </w:r>
      <w:r w:rsidRPr="003A68D5">
        <w:rPr>
          <w:lang w:val="el-GR"/>
        </w:rPr>
        <w:tab/>
      </w:r>
      <w:r w:rsidRPr="003A68D5">
        <w:rPr>
          <w:lang w:val="el-GR"/>
        </w:rPr>
        <w:tab/>
      </w:r>
      <w:r w:rsidRPr="003A68D5">
        <w:rPr>
          <w:lang w:val="el-GR"/>
        </w:rPr>
        <w:tab/>
      </w:r>
      <w:r w:rsidRPr="003A68D5">
        <w:rPr>
          <w:lang w:val="el-GR"/>
        </w:rPr>
        <w:tab/>
      </w:r>
      <w:r w:rsidRPr="003A68D5">
        <w:rPr>
          <w:lang w:val="el-GR"/>
        </w:rPr>
        <w:tab/>
        <w:t xml:space="preserve">  5 –  8  έτη</w:t>
      </w:r>
    </w:p>
    <w:p w:rsidR="004B417C" w:rsidRPr="003A68D5" w:rsidRDefault="004B417C" w:rsidP="007F1FB1">
      <w:pPr>
        <w:pStyle w:val="BodyText"/>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after="0"/>
        <w:jc w:val="both"/>
        <w:rPr>
          <w:lang w:val="el-GR"/>
        </w:rPr>
      </w:pPr>
      <w:r w:rsidRPr="003A68D5">
        <w:rPr>
          <w:lang w:val="el-GR"/>
        </w:rPr>
        <w:t>Μεταφορικά μέσα</w:t>
      </w:r>
      <w:r w:rsidRPr="003A68D5">
        <w:rPr>
          <w:lang w:val="el-GR"/>
        </w:rPr>
        <w:tab/>
      </w:r>
      <w:r w:rsidRPr="003A68D5">
        <w:rPr>
          <w:lang w:val="el-GR"/>
        </w:rPr>
        <w:tab/>
      </w:r>
      <w:r w:rsidRPr="003A68D5">
        <w:rPr>
          <w:lang w:val="el-GR"/>
        </w:rPr>
        <w:tab/>
      </w:r>
      <w:r w:rsidRPr="003A68D5">
        <w:rPr>
          <w:lang w:val="el-GR"/>
        </w:rPr>
        <w:tab/>
      </w:r>
      <w:r w:rsidRPr="003A68D5">
        <w:rPr>
          <w:lang w:val="el-GR"/>
        </w:rPr>
        <w:tab/>
      </w:r>
      <w:r w:rsidRPr="003A68D5">
        <w:rPr>
          <w:lang w:val="el-GR"/>
        </w:rPr>
        <w:tab/>
      </w:r>
      <w:r w:rsidRPr="003A68D5">
        <w:rPr>
          <w:lang w:val="el-GR"/>
        </w:rPr>
        <w:tab/>
        <w:t xml:space="preserve">  7 –  9  έτη</w:t>
      </w:r>
    </w:p>
    <w:p w:rsidR="004B417C" w:rsidRPr="003A68D5" w:rsidRDefault="004B417C" w:rsidP="007F1FB1">
      <w:pPr>
        <w:pStyle w:val="BodyText"/>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after="0"/>
        <w:jc w:val="both"/>
        <w:rPr>
          <w:lang w:val="el-GR"/>
        </w:rPr>
      </w:pPr>
    </w:p>
    <w:p w:rsidR="004B417C" w:rsidRPr="003A68D5" w:rsidRDefault="004B417C" w:rsidP="00AD3B74">
      <w:pPr>
        <w:pStyle w:val="BodyText"/>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after="0"/>
        <w:jc w:val="both"/>
        <w:rPr>
          <w:lang w:val="el-GR"/>
        </w:rPr>
      </w:pPr>
      <w:r w:rsidRPr="003A68D5">
        <w:rPr>
          <w:lang w:val="el-GR"/>
        </w:rPr>
        <w:t>Εξαιρούνται οι «Βελτιώσεις σε ακίνητα τρίτων» οι οποίες αποσβένονται στο μικρότερο χρονικό διάστημα μεταξύ της ωφέλιμης ζωής της βελτίωσης και της διάρκειας μίσθωσης του μισθωμένου ακινήτου.</w:t>
      </w:r>
    </w:p>
    <w:p w:rsidR="004B417C" w:rsidRPr="003A68D5" w:rsidRDefault="004B417C" w:rsidP="00AD3B74">
      <w:pPr>
        <w:pStyle w:val="BodyText"/>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after="0"/>
        <w:jc w:val="both"/>
        <w:rPr>
          <w:lang w:val="el-GR"/>
        </w:rPr>
      </w:pPr>
    </w:p>
    <w:p w:rsidR="004B417C" w:rsidRPr="003A68D5" w:rsidRDefault="004B417C" w:rsidP="001F1210">
      <w:pPr>
        <w:pStyle w:val="BodyText"/>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after="0"/>
        <w:jc w:val="both"/>
        <w:rPr>
          <w:u w:val="single"/>
          <w:lang w:val="el-GR"/>
        </w:rPr>
      </w:pPr>
      <w:r w:rsidRPr="003A68D5">
        <w:rPr>
          <w:u w:val="single"/>
          <w:lang w:val="el-GR"/>
        </w:rPr>
        <w:t>Απομείωση</w:t>
      </w:r>
    </w:p>
    <w:p w:rsidR="004B417C" w:rsidRPr="003A68D5" w:rsidRDefault="004B417C" w:rsidP="001F1210">
      <w:pPr>
        <w:pStyle w:val="BodyText"/>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after="0"/>
        <w:jc w:val="both"/>
        <w:rPr>
          <w:lang w:val="el-GR"/>
        </w:rPr>
      </w:pPr>
    </w:p>
    <w:p w:rsidR="004B417C" w:rsidRDefault="004B417C" w:rsidP="001F1210">
      <w:pPr>
        <w:pStyle w:val="BodyText"/>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after="0"/>
        <w:jc w:val="both"/>
        <w:rPr>
          <w:lang w:val="el-GR"/>
        </w:rPr>
      </w:pPr>
      <w:r w:rsidRPr="003A68D5">
        <w:rPr>
          <w:lang w:val="el-GR"/>
        </w:rPr>
        <w:t>Η Εταιρεία εξετάζει σε ετήσια βάση τα ενσώματα περιουσιακά στοιχεία για τυχόν ενδείξεις απομείωσης. Αν υπάρχει ένδειξη απομείωσης η λογιστική αξία του ενσώματου στοιχείου μειώνεται στο ανακτήσιμο ποσό με ισόποση επιβάρυνση των αποτελεσμάτων.</w:t>
      </w:r>
    </w:p>
    <w:p w:rsidR="004B417C" w:rsidRDefault="004B417C" w:rsidP="001F1210">
      <w:pPr>
        <w:pStyle w:val="BodyText"/>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after="0"/>
        <w:jc w:val="both"/>
        <w:rPr>
          <w:lang w:val="el-GR"/>
        </w:rPr>
      </w:pPr>
    </w:p>
    <w:p w:rsidR="004B417C" w:rsidRPr="00E239D0" w:rsidRDefault="004B417C" w:rsidP="00E239D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rPr>
          <w:szCs w:val="22"/>
          <w:lang w:val="el-GR"/>
        </w:rPr>
      </w:pPr>
      <w:r w:rsidRPr="00E239D0">
        <w:rPr>
          <w:szCs w:val="22"/>
          <w:lang w:val="el-GR"/>
        </w:rPr>
        <w:t>Με ισχύ από 31/12/2011, εξαιτίας της αλλαγής στη βάση παρουσίασης των οικονομικών καταστάσεων, τα ενσώματα</w:t>
      </w:r>
      <w:r>
        <w:rPr>
          <w:szCs w:val="22"/>
          <w:lang w:val="el-GR"/>
        </w:rPr>
        <w:t xml:space="preserve"> περιουσιακά στοιχεία της Εταιρείας</w:t>
      </w:r>
      <w:r w:rsidRPr="00E239D0">
        <w:rPr>
          <w:szCs w:val="22"/>
          <w:lang w:val="el-GR"/>
        </w:rPr>
        <w:t xml:space="preserve"> απεικονίζονται στη</w:t>
      </w:r>
      <w:r>
        <w:rPr>
          <w:szCs w:val="22"/>
          <w:lang w:val="el-GR"/>
        </w:rPr>
        <w:t xml:space="preserve"> </w:t>
      </w:r>
      <w:r w:rsidRPr="00E239D0">
        <w:rPr>
          <w:szCs w:val="22"/>
          <w:lang w:val="el-GR"/>
        </w:rPr>
        <w:t xml:space="preserve">χαμηλότερη </w:t>
      </w:r>
      <w:r>
        <w:rPr>
          <w:szCs w:val="22"/>
          <w:lang w:val="el-GR"/>
        </w:rPr>
        <w:t xml:space="preserve">τιμή </w:t>
      </w:r>
      <w:r w:rsidRPr="00E239D0">
        <w:rPr>
          <w:szCs w:val="22"/>
          <w:lang w:val="el-GR"/>
        </w:rPr>
        <w:t>μεταξύ της εκτιμώμενης τιμής πώλησης και του αναπόσβεστου κόστους.</w:t>
      </w:r>
    </w:p>
    <w:p w:rsidR="004B417C" w:rsidRPr="00E239D0" w:rsidRDefault="004B417C" w:rsidP="001F1210">
      <w:pPr>
        <w:pStyle w:val="BodyText"/>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after="0"/>
        <w:jc w:val="both"/>
        <w:rPr>
          <w:lang w:val="el-GR"/>
        </w:rPr>
      </w:pPr>
    </w:p>
    <w:p w:rsidR="004B417C" w:rsidRDefault="004B417C" w:rsidP="00AD3B74">
      <w:pPr>
        <w:pStyle w:val="Heading2"/>
        <w:ind w:left="539" w:hanging="539"/>
        <w:jc w:val="both"/>
        <w:rPr>
          <w:lang w:val="el-GR"/>
        </w:rPr>
      </w:pPr>
      <w:bookmarkStart w:id="13" w:name="_Toc128477817"/>
      <w:r>
        <w:rPr>
          <w:lang w:val="el-GR"/>
        </w:rPr>
        <w:lastRenderedPageBreak/>
        <w:t>3.10</w:t>
      </w:r>
      <w:r>
        <w:rPr>
          <w:lang w:val="el-GR"/>
        </w:rPr>
        <w:tab/>
        <w:t>Άϋλα περιουσιακά στοιχεία</w:t>
      </w:r>
      <w:bookmarkEnd w:id="13"/>
    </w:p>
    <w:p w:rsidR="004B417C" w:rsidRDefault="004B417C" w:rsidP="00AD3B74">
      <w:pPr>
        <w:pStyle w:val="BodyText"/>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after="0"/>
        <w:jc w:val="both"/>
        <w:rPr>
          <w:lang w:val="el-GR"/>
        </w:rPr>
      </w:pPr>
    </w:p>
    <w:p w:rsidR="004B417C" w:rsidRDefault="004B417C" w:rsidP="00AD3B74">
      <w:pPr>
        <w:pStyle w:val="BodyText"/>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after="0"/>
        <w:jc w:val="both"/>
        <w:rPr>
          <w:lang w:val="el-GR"/>
        </w:rPr>
      </w:pPr>
      <w:r w:rsidRPr="00C930FB">
        <w:rPr>
          <w:lang w:val="el-GR"/>
        </w:rPr>
        <w:t xml:space="preserve">Τα «άυλα περιουσιακά στοιχεία» αφορούν τα  λογισμικά προγράμματα. Τα λογισμικά προγράμματα που αποκτώνται μεμονωμένα κεφαλαιοποιούνται στην αξία κτήσης. Μεταγενέστερα αποτιμούνται στο κόστος κτήσης μείον σωρευμένες αποσβέσεις και σωρευμένες απομειώσεις.  Τα λογισμικά προγράμματα αποσβένονται σε 3 χρόνια.  </w:t>
      </w:r>
    </w:p>
    <w:p w:rsidR="004B417C" w:rsidRDefault="004B417C" w:rsidP="00AD3B74">
      <w:pPr>
        <w:pStyle w:val="BodyText"/>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after="0"/>
        <w:jc w:val="both"/>
        <w:rPr>
          <w:lang w:val="el-GR"/>
        </w:rPr>
      </w:pPr>
    </w:p>
    <w:p w:rsidR="004B417C" w:rsidRPr="005E0C32" w:rsidRDefault="004B417C" w:rsidP="005E0C32">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22"/>
          <w:lang w:val="el-GR"/>
        </w:rPr>
      </w:pPr>
      <w:r w:rsidRPr="005E0C32">
        <w:rPr>
          <w:szCs w:val="22"/>
          <w:lang w:val="el-GR"/>
        </w:rPr>
        <w:t>Με ισχύ από 31/12/2011, εξαιτίας της αλλαγής στη βάση παρουσίασ</w:t>
      </w:r>
      <w:r>
        <w:rPr>
          <w:szCs w:val="22"/>
          <w:lang w:val="el-GR"/>
        </w:rPr>
        <w:t xml:space="preserve">ης των οικονομικών καταστάσεων, </w:t>
      </w:r>
      <w:r w:rsidRPr="005E0C32">
        <w:rPr>
          <w:szCs w:val="22"/>
          <w:lang w:val="el-GR"/>
        </w:rPr>
        <w:t xml:space="preserve">τα </w:t>
      </w:r>
      <w:r>
        <w:rPr>
          <w:szCs w:val="22"/>
          <w:lang w:val="el-GR"/>
        </w:rPr>
        <w:t xml:space="preserve">άυλα περιουσιακά στοιχεία της Εταιρείας </w:t>
      </w:r>
      <w:r w:rsidRPr="005E0C32">
        <w:rPr>
          <w:szCs w:val="22"/>
          <w:lang w:val="el-GR"/>
        </w:rPr>
        <w:t>απεικονίζονται στη χαμηλότερη μεταξύ της εκτιμώμενης τιμής πώλησης και του αναπόσβεστου κόστους.</w:t>
      </w:r>
    </w:p>
    <w:p w:rsidR="004B417C" w:rsidRDefault="004B417C" w:rsidP="00AD3B74">
      <w:pPr>
        <w:jc w:val="both"/>
        <w:rPr>
          <w:lang w:val="el-GR"/>
        </w:rPr>
      </w:pPr>
    </w:p>
    <w:p w:rsidR="004B417C" w:rsidRDefault="004B417C" w:rsidP="00AD3B74">
      <w:pPr>
        <w:pStyle w:val="Heading2"/>
        <w:ind w:left="539" w:hanging="539"/>
        <w:jc w:val="both"/>
        <w:rPr>
          <w:lang w:val="el-GR"/>
        </w:rPr>
      </w:pPr>
      <w:bookmarkStart w:id="14" w:name="_Toc128477818"/>
      <w:r>
        <w:rPr>
          <w:lang w:val="el-GR"/>
        </w:rPr>
        <w:t>3.11</w:t>
      </w:r>
      <w:r>
        <w:rPr>
          <w:lang w:val="el-GR"/>
        </w:rPr>
        <w:tab/>
        <w:t>Χρηματικά διαθέσιμα</w:t>
      </w:r>
      <w:bookmarkEnd w:id="14"/>
    </w:p>
    <w:p w:rsidR="004B417C" w:rsidRDefault="004B417C" w:rsidP="00AD3B74">
      <w:pPr>
        <w:pStyle w:val="Heading2"/>
        <w:ind w:left="539" w:hanging="539"/>
        <w:jc w:val="both"/>
        <w:rPr>
          <w:lang w:val="el-GR"/>
        </w:rPr>
      </w:pPr>
    </w:p>
    <w:p w:rsidR="004B417C" w:rsidRDefault="004B417C" w:rsidP="00AD3B74">
      <w:pPr>
        <w:jc w:val="both"/>
        <w:rPr>
          <w:lang w:val="el-GR"/>
        </w:rPr>
      </w:pPr>
      <w:r>
        <w:rPr>
          <w:lang w:val="el-GR"/>
        </w:rPr>
        <w:t>Η Εταιρεία θεωρεί, για σκοπούς ταμειακών ροών, τα χρηματικά διαθέσιμα στο ταμείο και σε τράπεζες και τις υψηλής ρευστότητας επενδύσεις με ημερομηνία λήξης μικρότερη των 3 μηνών, ως χρηματικά διαθέσιμα</w:t>
      </w:r>
    </w:p>
    <w:p w:rsidR="004B417C" w:rsidRDefault="004B417C" w:rsidP="006D071E">
      <w:pPr>
        <w:rPr>
          <w:lang w:val="el-GR"/>
        </w:rPr>
      </w:pPr>
    </w:p>
    <w:p w:rsidR="004B417C" w:rsidRDefault="004B417C" w:rsidP="00A25326">
      <w:pPr>
        <w:pStyle w:val="Heading2"/>
        <w:ind w:left="539" w:hanging="539"/>
        <w:jc w:val="both"/>
        <w:rPr>
          <w:lang w:val="el-GR"/>
        </w:rPr>
      </w:pPr>
      <w:r>
        <w:rPr>
          <w:lang w:val="el-GR"/>
        </w:rPr>
        <w:t>3.12</w:t>
      </w:r>
      <w:r>
        <w:rPr>
          <w:lang w:val="el-GR"/>
        </w:rPr>
        <w:tab/>
        <w:t>Προβλέψεις</w:t>
      </w:r>
    </w:p>
    <w:p w:rsidR="004B417C" w:rsidRPr="00A25326" w:rsidRDefault="004B417C" w:rsidP="00A25326">
      <w:pPr>
        <w:rPr>
          <w:lang w:val="el-GR"/>
        </w:rPr>
      </w:pPr>
    </w:p>
    <w:p w:rsidR="004B417C" w:rsidRPr="00A25326" w:rsidRDefault="004B417C" w:rsidP="00A25326">
      <w:pPr>
        <w:pStyle w:val="Heading2"/>
        <w:tabs>
          <w:tab w:val="clear" w:pos="454"/>
          <w:tab w:val="clear" w:pos="680"/>
          <w:tab w:val="left" w:pos="0"/>
        </w:tabs>
        <w:jc w:val="both"/>
        <w:rPr>
          <w:b w:val="0"/>
          <w:lang w:val="el-GR"/>
        </w:rPr>
      </w:pPr>
      <w:r w:rsidRPr="00A25326">
        <w:rPr>
          <w:b w:val="0"/>
          <w:lang w:val="el-GR"/>
        </w:rPr>
        <w:t>Προβλέψεις αναγνωρίζονται όταν η Εταιρεία έχει παρούσες νομικές ή τεκμαιρόμενες υποχρεώσεις ως αποτέλεσμα παρελθόντων γεγονότων, είναι πιθανή η εκκαθάρισή τους μέσω εκροών πόρων και η εκτίμηση του ακριβούς ποσού της υποχρέωσης μπορεί να πραγματοποιηθεί με αξιοπιστία.  Εφόσον το ποσό της υποχρέωσης είναι σημαντικό η προβλέψεις προσαρμόζονται προκειμένου να αντανακλούν την παρούσα αξία της δαπάνης που αναμένεται να απαιτηθεί για τη διευθέτηση της υποχρέωσης. Οι ενδεχόμενες υποχρεώσεις δεν αναγνωρίζονται στις οικονομικές καταστάσεις αλλά γνωστοποιούνται, εκτός αν η πιθανότητα εκροής πόρων είναι ελάχιστη.  Οι ενδεχόμενες απαιτήσεις δεν αναγνωρίζονται στις οικονομικές καταστάσεις αλλά γνωστοποιούνται εφόσον η εισροή οικονομικών οφελών είναι πιθανή.</w:t>
      </w:r>
    </w:p>
    <w:p w:rsidR="004B417C" w:rsidRDefault="004B417C" w:rsidP="00625686">
      <w:pPr>
        <w:pStyle w:val="Heading2"/>
        <w:ind w:left="539" w:hanging="539"/>
        <w:rPr>
          <w:lang w:val="el-GR"/>
        </w:rPr>
      </w:pPr>
      <w:bookmarkStart w:id="15" w:name="_Toc128477825"/>
    </w:p>
    <w:p w:rsidR="004B417C" w:rsidRDefault="004B417C" w:rsidP="00625686">
      <w:pPr>
        <w:pStyle w:val="Heading2"/>
        <w:ind w:left="539" w:hanging="539"/>
        <w:rPr>
          <w:lang w:val="el-GR"/>
        </w:rPr>
      </w:pPr>
      <w:r>
        <w:rPr>
          <w:lang w:val="el-GR"/>
        </w:rPr>
        <w:t>3.13</w:t>
      </w:r>
      <w:r>
        <w:rPr>
          <w:lang w:val="el-GR"/>
        </w:rPr>
        <w:tab/>
        <w:t>Παροχές προς το Προσωπικό</w:t>
      </w:r>
      <w:bookmarkEnd w:id="15"/>
    </w:p>
    <w:p w:rsidR="004B417C" w:rsidRDefault="004B417C" w:rsidP="00625686">
      <w:pPr>
        <w:rPr>
          <w:lang w:val="el-GR"/>
        </w:rPr>
      </w:pPr>
    </w:p>
    <w:p w:rsidR="004B417C" w:rsidRDefault="004B417C" w:rsidP="0062568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rPr>
          <w:szCs w:val="17"/>
          <w:lang w:val="el-GR"/>
        </w:rPr>
      </w:pPr>
      <w:r>
        <w:rPr>
          <w:szCs w:val="17"/>
          <w:lang w:val="el-GR"/>
        </w:rPr>
        <w:t>α) προγράμματα καθορισμένων εισφορών</w:t>
      </w:r>
    </w:p>
    <w:p w:rsidR="004B417C" w:rsidRDefault="004B417C" w:rsidP="0062568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rPr>
          <w:szCs w:val="17"/>
          <w:lang w:val="el-GR"/>
        </w:rPr>
      </w:pPr>
    </w:p>
    <w:p w:rsidR="004B417C" w:rsidRDefault="004B417C" w:rsidP="0062568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rPr>
          <w:szCs w:val="17"/>
          <w:lang w:val="el-GR"/>
        </w:rPr>
      </w:pPr>
      <w:r>
        <w:rPr>
          <w:szCs w:val="17"/>
          <w:lang w:val="el-GR"/>
        </w:rPr>
        <w:t>Το σύνολο του προσωπικού της Εταιρείας είναι ασφαλισμένο για την κύρια σύνταξή του στο Ίδρυμα Κοινωνικών Ασφαλίσεων (ΙΚΑ). Οι εισφορές σε αυτό βαρύνουν αναλογικά τον εργοδότη και τους εργαζομένους, είναι καθορισμένες, και καταβάλλονται σε μηνιαία βάση.</w:t>
      </w:r>
    </w:p>
    <w:p w:rsidR="004B417C" w:rsidRDefault="004B417C" w:rsidP="0062568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rPr>
          <w:szCs w:val="17"/>
          <w:lang w:val="el-GR"/>
        </w:rPr>
      </w:pPr>
    </w:p>
    <w:p w:rsidR="004B417C" w:rsidRPr="00FE534F" w:rsidRDefault="004B417C" w:rsidP="0062568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rPr>
          <w:szCs w:val="17"/>
          <w:lang w:val="el-GR"/>
        </w:rPr>
      </w:pPr>
      <w:r w:rsidRPr="00FE534F">
        <w:rPr>
          <w:szCs w:val="17"/>
          <w:lang w:val="el-GR"/>
        </w:rPr>
        <w:t>β) πρόγραμμα καθορισμένων παροχών</w:t>
      </w:r>
    </w:p>
    <w:p w:rsidR="004B417C" w:rsidRPr="00FE534F" w:rsidRDefault="004B417C" w:rsidP="0062568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rPr>
          <w:szCs w:val="17"/>
          <w:lang w:val="el-GR"/>
        </w:rPr>
      </w:pPr>
    </w:p>
    <w:p w:rsidR="004B417C" w:rsidRPr="00FE534F" w:rsidRDefault="004B417C" w:rsidP="00AD3B74">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17"/>
          <w:lang w:val="el-GR"/>
        </w:rPr>
      </w:pPr>
      <w:r w:rsidRPr="00FE534F">
        <w:rPr>
          <w:szCs w:val="17"/>
          <w:lang w:val="el-GR"/>
        </w:rPr>
        <w:t xml:space="preserve">Ένα πρόγραμμα καθορισμένων παροχών είναι στην ουσία ένα συνταξιοδοτικό πρόγραμμα στο οποίο η υποχρέωση της Εταιρείας καθορίζεται από το ύψος της αποζημίωσης που θα λάβει ο υπάλληλος κατά το χρόνο συνταξιοδότησής του, βάσει της ηλικίας του, της προϋπηρεσίας του στην Εταιρεία και της αμοιβής του. Η υποχρέωση που καταχωρείται στην Κατάσταση Οικονομικής Θέσης αναφορικά με τα προγράμματα καθορισμένων παροχών συνίσταται από την παρούσα αξία των παροχών κατά την ημερομηνία σύνταξης των οικονομικών καταστάσεων μειωμένη με την εύλογη αξία των περιουσιακών στοιχείων του προγράμματος, με τις αναπροσαρμογές που απαιτούνται για κέρδη ή ζημιές που προέρχονται από αναλογιστική μελέτη και δεν έχουν ακόμα καταχωρηθεί καθώς και με το κόστος της υπηρεσίας που έχει ήδη παρασχεθεί. Η υποχρέωση των προγραμμάτων καθορισμένων παροχών προσδιορίζεται σε ετήσια βάση από ανεξάρτητο αναλογιστή χρησιμοποιώντας τη μέθοδο της προβαλλόμενης μονάδας πίστωσης (projected unit credit method). </w:t>
      </w:r>
    </w:p>
    <w:p w:rsidR="004B417C" w:rsidRDefault="004B417C" w:rsidP="00AD3B74">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17"/>
          <w:highlight w:val="yellow"/>
          <w:lang w:val="el-GR"/>
        </w:rPr>
      </w:pPr>
    </w:p>
    <w:p w:rsidR="004B417C" w:rsidRPr="00715D9B" w:rsidRDefault="004B417C" w:rsidP="00715D9B">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22"/>
          <w:lang w:val="el-GR"/>
        </w:rPr>
      </w:pPr>
      <w:r w:rsidRPr="00715D9B">
        <w:rPr>
          <w:szCs w:val="22"/>
          <w:lang w:val="el-GR"/>
        </w:rPr>
        <w:lastRenderedPageBreak/>
        <w:t>Με ισχύ από 31/12/2011, εξαιτίας της αλλαγής στη βάση παρουσίασης των οικονομικών καταστάσεων,</w:t>
      </w:r>
      <w:r>
        <w:rPr>
          <w:szCs w:val="22"/>
          <w:lang w:val="el-GR"/>
        </w:rPr>
        <w:t xml:space="preserve"> </w:t>
      </w:r>
      <w:r w:rsidRPr="00715D9B">
        <w:rPr>
          <w:szCs w:val="22"/>
          <w:lang w:val="el-GR"/>
        </w:rPr>
        <w:t xml:space="preserve">οι υποχρεώσεις της Εταιρείας αναφορικά με προγράμματα καθορισμένων παροχών αφορούν το συνολικό κόστος αποζημίωσης του προσωπικού </w:t>
      </w:r>
      <w:r>
        <w:rPr>
          <w:szCs w:val="22"/>
          <w:lang w:val="el-GR"/>
        </w:rPr>
        <w:t>της Εταιρείας</w:t>
      </w:r>
      <w:r w:rsidRPr="00715D9B">
        <w:rPr>
          <w:szCs w:val="22"/>
          <w:lang w:val="el-GR"/>
        </w:rPr>
        <w:t>, με βάση τις ισχύουσες</w:t>
      </w:r>
      <w:r>
        <w:rPr>
          <w:szCs w:val="22"/>
          <w:lang w:val="el-GR"/>
        </w:rPr>
        <w:t xml:space="preserve"> </w:t>
      </w:r>
      <w:r w:rsidRPr="00715D9B">
        <w:rPr>
          <w:szCs w:val="22"/>
          <w:lang w:val="el-GR"/>
        </w:rPr>
        <w:t>νομικές διατάξεις.</w:t>
      </w:r>
    </w:p>
    <w:p w:rsidR="004B417C" w:rsidRPr="00585BDD" w:rsidRDefault="004B417C" w:rsidP="00585BDD">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rPr>
          <w:rFonts w:ascii="Tahoma" w:hAnsi="Tahoma" w:cs="Tahoma"/>
          <w:sz w:val="20"/>
          <w:lang w:val="el-GR"/>
        </w:rPr>
      </w:pPr>
    </w:p>
    <w:p w:rsidR="004B417C" w:rsidRDefault="004B417C" w:rsidP="00585BDD">
      <w:pPr>
        <w:pStyle w:val="Heading2"/>
        <w:ind w:left="539" w:hanging="539"/>
        <w:rPr>
          <w:lang w:val="el-GR"/>
        </w:rPr>
      </w:pPr>
      <w:r>
        <w:rPr>
          <w:lang w:val="el-GR"/>
        </w:rPr>
        <w:t>3.14</w:t>
      </w:r>
      <w:r w:rsidRPr="00A20B12">
        <w:rPr>
          <w:lang w:val="el-GR"/>
        </w:rPr>
        <w:tab/>
      </w:r>
      <w:r>
        <w:rPr>
          <w:lang w:val="el-GR"/>
        </w:rPr>
        <w:t xml:space="preserve"> Μετοχικό Κεφάλαιο</w:t>
      </w:r>
    </w:p>
    <w:p w:rsidR="004B417C" w:rsidRPr="00585BDD" w:rsidRDefault="004B417C" w:rsidP="00585BDD">
      <w:pPr>
        <w:rPr>
          <w:lang w:val="el-GR"/>
        </w:rPr>
      </w:pPr>
    </w:p>
    <w:p w:rsidR="004B417C" w:rsidRPr="00585BDD" w:rsidRDefault="004B417C" w:rsidP="00585BDD">
      <w:pPr>
        <w:pStyle w:val="Heading2"/>
        <w:tabs>
          <w:tab w:val="clear" w:pos="454"/>
          <w:tab w:val="clear" w:pos="680"/>
          <w:tab w:val="left" w:pos="0"/>
        </w:tabs>
        <w:jc w:val="both"/>
        <w:rPr>
          <w:b w:val="0"/>
          <w:lang w:val="el-GR"/>
        </w:rPr>
      </w:pPr>
      <w:r w:rsidRPr="00585BDD">
        <w:rPr>
          <w:b w:val="0"/>
          <w:lang w:val="el-GR"/>
        </w:rPr>
        <w:t>Το μετοχικό κεφάλαιο αποτελείται από κοινές ονομαστικές μετοχές και εμφανίζεται στην καθαρή θέση.  Τα άμεσα σχετιζόμενα με την αύξηση του μετοχικού κεφαλαίου της Εταιρείας έξοδα, αφαιρούνται από το προϊόν της έκδοσης και μειώνουν ισόποσα τα ίδια κεφάλαια.</w:t>
      </w:r>
    </w:p>
    <w:p w:rsidR="004B417C" w:rsidRDefault="004B417C" w:rsidP="00AD3B74">
      <w:pPr>
        <w:tabs>
          <w:tab w:val="num" w:pos="720"/>
        </w:tabs>
        <w:spacing w:before="120" w:after="120"/>
        <w:jc w:val="both"/>
        <w:rPr>
          <w:lang w:val="el-GR"/>
        </w:rPr>
      </w:pPr>
      <w:r w:rsidRPr="00623A61">
        <w:rPr>
          <w:lang w:val="el-GR"/>
        </w:rPr>
        <w:t>Τα μερίσματα σε κοινές μετοχές αναγνωρίζονται σαν υποχρέωση στην περίοδο που έχουν εγκριθεί από τους μετόχους.</w:t>
      </w:r>
    </w:p>
    <w:p w:rsidR="004B417C" w:rsidRPr="00CB54C3" w:rsidRDefault="004B417C" w:rsidP="00CB54C3">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22"/>
          <w:lang w:val="el-GR"/>
        </w:rPr>
      </w:pPr>
      <w:r w:rsidRPr="00CB54C3">
        <w:rPr>
          <w:szCs w:val="22"/>
          <w:lang w:val="el-GR"/>
        </w:rPr>
        <w:t>Το κόστος κτήσης ιδίων μετοχών συμπεριλαμβανομένων των διαφόρων εξόδων, εμφανίζεται αφαιρετικά των ιδίων κεφαλαίων, έως ότου οι ίδιες μετοχές πουληθούν ή ακυρωθούν.  Στην περίπτωση που οι ίδιες μετοχές πουληθούν ή επανεκδοθούν, το τίμημα θα καταχωρηθεί απευθείας στην καθαρή θέση.</w:t>
      </w:r>
    </w:p>
    <w:p w:rsidR="004B417C" w:rsidRPr="00CB54C3" w:rsidRDefault="004B417C" w:rsidP="00CB54C3">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22"/>
          <w:lang w:val="el-GR"/>
        </w:rPr>
      </w:pPr>
    </w:p>
    <w:p w:rsidR="004B417C" w:rsidRDefault="004B417C" w:rsidP="00CB54C3">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lang w:val="el-GR"/>
        </w:rPr>
      </w:pPr>
      <w:r w:rsidRPr="00CB54C3">
        <w:rPr>
          <w:b/>
          <w:szCs w:val="22"/>
          <w:lang w:val="el-GR"/>
        </w:rPr>
        <w:t>3.15 Νέα πρότυπα, τροποποιήσεις προτύπων και διερμηνείες:</w:t>
      </w:r>
      <w:r w:rsidRPr="009F088E">
        <w:rPr>
          <w:lang w:val="el-GR"/>
        </w:rPr>
        <w:t xml:space="preserve"> Συγκεκριμένα νέα πρότυπα, τροποποιήσεις προτύπων και διερμηνείες έχουν εκδοθεί, τα οποία είναι υποχρεωτικά για λογιστικές περιόδους που ξεκινούν </w:t>
      </w:r>
      <w:r w:rsidRPr="00F21089">
        <w:rPr>
          <w:lang w:val="el-GR"/>
        </w:rPr>
        <w:t xml:space="preserve">κατά τη διάρκεια της παρούσας χρήσης ή μεταγενέστερα. Η </w:t>
      </w:r>
      <w:r>
        <w:rPr>
          <w:lang w:val="el-GR"/>
        </w:rPr>
        <w:t>εκτίμηση της Εταιρείας</w:t>
      </w:r>
      <w:r w:rsidRPr="00F21089">
        <w:rPr>
          <w:lang w:val="el-GR"/>
        </w:rPr>
        <w:t xml:space="preserve"> σχετικά με την επίδραση από την εφαρμογή αυτών των νέων προτύπων, τροποποιήσεων και διερμηνειών παρατίθεται παρακάτω.</w:t>
      </w:r>
    </w:p>
    <w:p w:rsidR="004B417C" w:rsidRPr="00F21089" w:rsidRDefault="004B417C" w:rsidP="00CB54C3">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lang w:val="el-GR"/>
        </w:rPr>
      </w:pPr>
    </w:p>
    <w:p w:rsidR="004B417C" w:rsidRPr="00F21089" w:rsidRDefault="004B417C" w:rsidP="000C451A">
      <w:pPr>
        <w:spacing w:after="240" w:line="240" w:lineRule="auto"/>
        <w:jc w:val="both"/>
        <w:rPr>
          <w:u w:val="single"/>
          <w:lang w:val="el-GR"/>
        </w:rPr>
      </w:pPr>
      <w:r w:rsidRPr="00F21089">
        <w:rPr>
          <w:u w:val="single"/>
          <w:lang w:val="el-GR"/>
        </w:rPr>
        <w:t xml:space="preserve">Πρότυπα και Διερμηνείες υποχρεωτικές για την τρέχουσα οικονομική χρήση </w:t>
      </w:r>
    </w:p>
    <w:p w:rsidR="004B417C" w:rsidRPr="00F21089" w:rsidRDefault="004B417C" w:rsidP="000C451A">
      <w:pPr>
        <w:spacing w:after="240" w:line="240" w:lineRule="auto"/>
        <w:rPr>
          <w:lang w:val="el-GR"/>
        </w:rPr>
      </w:pPr>
      <w:r w:rsidRPr="00F21089">
        <w:rPr>
          <w:b/>
          <w:bCs/>
          <w:spacing w:val="-2"/>
          <w:lang w:val="el-GR"/>
        </w:rPr>
        <w:t>ΔΠΧΑ 7 (</w:t>
      </w:r>
      <w:r w:rsidRPr="00F21089">
        <w:rPr>
          <w:b/>
          <w:lang w:val="el-GR"/>
        </w:rPr>
        <w:t>Τροποποίηση) «</w:t>
      </w:r>
      <w:r w:rsidRPr="00F21089">
        <w:rPr>
          <w:b/>
          <w:bCs/>
          <w:spacing w:val="-2"/>
          <w:lang w:val="el-GR"/>
        </w:rPr>
        <w:t xml:space="preserve">Χρηματοοικονομικά Μέσα: Γνωστοποιήσεις» - μεταβιβάσεις χρηματοοικονομικών περιουσιακών στοιχείων </w:t>
      </w:r>
    </w:p>
    <w:p w:rsidR="004B417C" w:rsidRPr="00A04356" w:rsidRDefault="004B417C" w:rsidP="000C451A">
      <w:pPr>
        <w:spacing w:after="240" w:line="240" w:lineRule="auto"/>
        <w:jc w:val="both"/>
        <w:rPr>
          <w:b/>
          <w:bCs/>
          <w:spacing w:val="-2"/>
          <w:lang w:val="el-GR"/>
        </w:rPr>
      </w:pPr>
      <w:r w:rsidRPr="00F21089">
        <w:rPr>
          <w:bCs/>
          <w:spacing w:val="-2"/>
          <w:lang w:val="el-GR"/>
        </w:rPr>
        <w:t xml:space="preserve">Η παρούσα τροποποίηση παρέχει τις γνωστοποιήσεις για μεταβιβασμένα χρηματοοικονομικά περιουσιακά στοιχεία που δεν έχουν αποαναγνωριστεί εξ’ολοκλήρου καθώς και για μεταβιβασμένα χρηματοοικονομικά περιουσιακά στοιχεία που έχουν αποαναγνωριστεί </w:t>
      </w:r>
      <w:r>
        <w:rPr>
          <w:bCs/>
          <w:spacing w:val="-2"/>
          <w:lang w:val="el-GR"/>
        </w:rPr>
        <w:t xml:space="preserve">εξ’ολοκλήρου αλλά για τα οποία η Εταιρεία έχει συνεχιζόμενη ανάμειξη. </w:t>
      </w:r>
      <w:r w:rsidRPr="00F21089">
        <w:rPr>
          <w:bCs/>
          <w:spacing w:val="-2"/>
          <w:lang w:val="el-GR"/>
        </w:rPr>
        <w:t xml:space="preserve">Παρέχει επίσης καθοδήγηση για την εφαρμογή των απαιτούμενων </w:t>
      </w:r>
      <w:r w:rsidRPr="008D2B2F">
        <w:rPr>
          <w:bCs/>
          <w:spacing w:val="-2"/>
          <w:lang w:val="el-GR"/>
        </w:rPr>
        <w:t>γνωστοποιήσεων.</w:t>
      </w:r>
      <w:r w:rsidRPr="00EE6674">
        <w:rPr>
          <w:bCs/>
          <w:spacing w:val="-2"/>
          <w:lang w:val="el-GR"/>
        </w:rPr>
        <w:t xml:space="preserve"> </w:t>
      </w:r>
      <w:r w:rsidRPr="008D2B2F">
        <w:rPr>
          <w:bCs/>
          <w:spacing w:val="-2"/>
          <w:lang w:val="el-GR"/>
        </w:rPr>
        <w:t xml:space="preserve">Η τροποποίηση </w:t>
      </w:r>
      <w:r>
        <w:rPr>
          <w:bCs/>
          <w:spacing w:val="-2"/>
          <w:lang w:val="el-GR"/>
        </w:rPr>
        <w:t xml:space="preserve">αυτή δεν έχει επίδραση στις </w:t>
      </w:r>
      <w:r w:rsidRPr="008D2B2F">
        <w:rPr>
          <w:bCs/>
          <w:spacing w:val="-2"/>
          <w:lang w:val="el-GR"/>
        </w:rPr>
        <w:t xml:space="preserve">οικονομικές καταστάσεις </w:t>
      </w:r>
      <w:r>
        <w:rPr>
          <w:bCs/>
          <w:spacing w:val="-2"/>
          <w:lang w:val="el-GR"/>
        </w:rPr>
        <w:t>της Εταιρείας</w:t>
      </w:r>
      <w:r w:rsidRPr="008D2B2F">
        <w:rPr>
          <w:bCs/>
          <w:spacing w:val="-2"/>
          <w:lang w:val="el-GR"/>
        </w:rPr>
        <w:t>.</w:t>
      </w:r>
    </w:p>
    <w:p w:rsidR="004B417C" w:rsidRPr="00F6007E" w:rsidRDefault="004B417C" w:rsidP="000C451A">
      <w:pPr>
        <w:spacing w:after="240" w:line="240" w:lineRule="auto"/>
        <w:jc w:val="both"/>
        <w:rPr>
          <w:u w:val="single"/>
          <w:lang w:val="el-GR"/>
        </w:rPr>
      </w:pPr>
      <w:r w:rsidRPr="00F21089">
        <w:rPr>
          <w:u w:val="single"/>
          <w:lang w:val="el-GR"/>
        </w:rPr>
        <w:t>Πρότυπα και Διερμηνείες υποχρεωτικές από περιόδους που ξεκινούν την ή μετά από 1 Ιανουαρίου 201</w:t>
      </w:r>
      <w:r w:rsidRPr="00CE2384">
        <w:rPr>
          <w:u w:val="single"/>
          <w:lang w:val="el-GR"/>
        </w:rPr>
        <w:t>3</w:t>
      </w:r>
    </w:p>
    <w:p w:rsidR="004B417C" w:rsidRPr="00C638D1" w:rsidRDefault="004B417C" w:rsidP="000C451A">
      <w:pPr>
        <w:spacing w:after="240" w:line="240" w:lineRule="auto"/>
        <w:rPr>
          <w:rFonts w:cs="Arial"/>
          <w:u w:val="single"/>
          <w:lang w:val="el-GR"/>
        </w:rPr>
      </w:pPr>
      <w:r w:rsidRPr="00F21089">
        <w:rPr>
          <w:rFonts w:cs="Arial"/>
          <w:b/>
          <w:color w:val="000000"/>
          <w:lang w:val="el-GR"/>
        </w:rPr>
        <w:t>ΔΠΧΑ 9 «</w:t>
      </w:r>
      <w:r w:rsidRPr="00C638D1">
        <w:rPr>
          <w:rFonts w:cs="Arial"/>
          <w:b/>
          <w:color w:val="000000"/>
          <w:lang w:val="el-GR"/>
        </w:rPr>
        <w:t>Χρηματοοικονομικά μέσα»</w:t>
      </w:r>
      <w:r w:rsidRPr="00C638D1">
        <w:rPr>
          <w:rFonts w:cs="Arial"/>
          <w:b/>
          <w:lang w:val="el-GR"/>
        </w:rPr>
        <w:t xml:space="preserve"> </w:t>
      </w:r>
      <w:r w:rsidRPr="00C638D1">
        <w:rPr>
          <w:rFonts w:cs="Arial"/>
          <w:color w:val="000000"/>
          <w:u w:val="single"/>
          <w:lang w:val="el-GR"/>
        </w:rPr>
        <w:t>(εφαρμόζεται στις ετήσιες λογιστικές περιόδους που ξεκινούν την ή μετά την 1η Ιανουαρίου 2015)</w:t>
      </w:r>
    </w:p>
    <w:p w:rsidR="004B417C" w:rsidRPr="002A7874" w:rsidRDefault="004B417C" w:rsidP="000C451A">
      <w:pPr>
        <w:autoSpaceDE w:val="0"/>
        <w:autoSpaceDN w:val="0"/>
        <w:adjustRightInd w:val="0"/>
        <w:spacing w:after="240" w:line="240" w:lineRule="auto"/>
        <w:jc w:val="both"/>
        <w:rPr>
          <w:rFonts w:cs="Arial"/>
          <w:color w:val="000000"/>
          <w:lang w:val="el-GR"/>
        </w:rPr>
      </w:pPr>
      <w:r w:rsidRPr="00C638D1">
        <w:rPr>
          <w:rFonts w:cs="Arial"/>
          <w:color w:val="000000"/>
          <w:lang w:val="el-GR"/>
        </w:rPr>
        <w:t xml:space="preserve">Το ΔΠΧΑ 9 αποτελεί την πρώτη φάση στο έργο του ΣΔΛΠ (Συμβούλιο Διεθνών Λογιστικών Προτύπων) για την αντικατάσταση του ΔΛΠ 39 και αναφέρεται στην ταξινόμηση και επιμέτρηση των χρηματοοικονομικών περιουσιακών στοιχείων και χρηματοοικονομικών υποχρεώσεων. </w:t>
      </w:r>
      <w:r w:rsidRPr="00F21089">
        <w:rPr>
          <w:rFonts w:cs="Arial"/>
          <w:color w:val="000000"/>
          <w:lang w:val="el-GR"/>
        </w:rPr>
        <w:t xml:space="preserve">Το ΣΔΛΠ </w:t>
      </w:r>
      <w:r w:rsidRPr="001F3B3C">
        <w:rPr>
          <w:rFonts w:cs="Arial"/>
          <w:color w:val="000000"/>
          <w:lang w:val="el-GR"/>
        </w:rPr>
        <w:t>στις επ</w:t>
      </w:r>
      <w:r>
        <w:rPr>
          <w:rFonts w:cs="Arial"/>
          <w:color w:val="000000"/>
          <w:lang w:val="el-GR"/>
        </w:rPr>
        <w:t>όμενες φάσεις του έργου θα</w:t>
      </w:r>
      <w:r w:rsidRPr="00F21089">
        <w:rPr>
          <w:rFonts w:cs="Arial"/>
          <w:color w:val="000000"/>
          <w:lang w:val="el-GR"/>
        </w:rPr>
        <w:t xml:space="preserve"> επεκτείνει το ΔΠΧΑ 9 έτσι ώστε να προστεθούν νέες απαιτήσεις για τ</w:t>
      </w:r>
      <w:r>
        <w:rPr>
          <w:rFonts w:cs="Arial"/>
          <w:color w:val="000000"/>
          <w:lang w:val="el-GR"/>
        </w:rPr>
        <w:t>ην απομείωση της αξίας</w:t>
      </w:r>
      <w:r w:rsidRPr="00F21089">
        <w:rPr>
          <w:rFonts w:cs="Arial"/>
          <w:color w:val="000000"/>
          <w:lang w:val="el-GR"/>
        </w:rPr>
        <w:t xml:space="preserve"> και τη λογιστική αντιστάθμισης.</w:t>
      </w:r>
      <w:r>
        <w:rPr>
          <w:rFonts w:cs="Arial"/>
          <w:color w:val="000000"/>
          <w:lang w:val="el-GR"/>
        </w:rPr>
        <w:t xml:space="preserve"> </w:t>
      </w:r>
      <w:r>
        <w:rPr>
          <w:bCs/>
          <w:spacing w:val="-2"/>
          <w:lang w:val="el-GR"/>
        </w:rPr>
        <w:t xml:space="preserve">Η Εταιρεία </w:t>
      </w:r>
      <w:r w:rsidRPr="00C638D1">
        <w:rPr>
          <w:rFonts w:cs="Arial"/>
          <w:color w:val="000000"/>
          <w:lang w:val="el-GR"/>
        </w:rPr>
        <w:t>βρίσκεται στη διαδικασία εκτίμησης της επίδρασης του ΔΠΧΑ 9 στις οικονομικές του καταστάσεις. Το ΔΠΧΑ 9 δεν μπορ</w:t>
      </w:r>
      <w:r>
        <w:rPr>
          <w:rFonts w:cs="Arial"/>
          <w:color w:val="000000"/>
          <w:lang w:val="el-GR"/>
        </w:rPr>
        <w:t>εί να εφαρμοστεί νωρίτερα από την Εταιρεία</w:t>
      </w:r>
      <w:r w:rsidRPr="00C638D1">
        <w:rPr>
          <w:rFonts w:cs="Arial"/>
          <w:color w:val="000000"/>
          <w:lang w:val="el-GR"/>
        </w:rPr>
        <w:t xml:space="preserve"> διότι δεν έχει υιοθετηθεί από την Ευρωπαϊκή</w:t>
      </w:r>
      <w:r>
        <w:rPr>
          <w:rFonts w:cs="Arial"/>
          <w:color w:val="000000"/>
          <w:lang w:val="el-GR"/>
        </w:rPr>
        <w:t xml:space="preserve"> Ένωση. Μόνο όταν υιοθετηθεί, η Εταιρεία </w:t>
      </w:r>
      <w:r w:rsidRPr="00C638D1">
        <w:rPr>
          <w:rFonts w:cs="Arial"/>
          <w:color w:val="000000"/>
          <w:lang w:val="el-GR"/>
        </w:rPr>
        <w:t>θα αποφασίσει εάν θα εφαρμόσει το ΔΠΧΑ 9 νωρίτερα από την 1 Ιανουαρίου 2015.</w:t>
      </w:r>
    </w:p>
    <w:p w:rsidR="004B417C" w:rsidRPr="00F21089" w:rsidRDefault="004B417C" w:rsidP="000C451A">
      <w:pPr>
        <w:spacing w:after="240" w:line="240" w:lineRule="auto"/>
        <w:rPr>
          <w:u w:val="single"/>
          <w:lang w:val="el-GR"/>
        </w:rPr>
      </w:pPr>
      <w:r w:rsidRPr="00F21089">
        <w:rPr>
          <w:b/>
          <w:lang w:val="el-GR"/>
        </w:rPr>
        <w:lastRenderedPageBreak/>
        <w:t xml:space="preserve">ΔΛΠ 12 (Τροποποίηση) «Φόροι εισοδήματος» </w:t>
      </w:r>
      <w:r w:rsidRPr="00F21089">
        <w:rPr>
          <w:rFonts w:cs="Arial"/>
          <w:color w:val="000000"/>
          <w:u w:val="single"/>
          <w:lang w:val="el-GR"/>
        </w:rPr>
        <w:t>(εφαρμόζεται στις ετήσιες λογιστικές περιόδους που</w:t>
      </w:r>
      <w:r w:rsidRPr="002A7874">
        <w:rPr>
          <w:rFonts w:cs="Arial"/>
          <w:color w:val="000000"/>
          <w:u w:val="single"/>
          <w:lang w:val="el-GR"/>
        </w:rPr>
        <w:t xml:space="preserve"> </w:t>
      </w:r>
      <w:r w:rsidRPr="00F21089">
        <w:rPr>
          <w:rFonts w:cs="Arial"/>
          <w:color w:val="000000"/>
          <w:u w:val="single"/>
          <w:lang w:val="el-GR"/>
        </w:rPr>
        <w:t>ξεκινούν την ή μετά την 1η Ιανουαρίου 2013)</w:t>
      </w:r>
    </w:p>
    <w:p w:rsidR="004B417C" w:rsidRPr="002A7874" w:rsidRDefault="004B417C" w:rsidP="000C451A">
      <w:pPr>
        <w:autoSpaceDE w:val="0"/>
        <w:autoSpaceDN w:val="0"/>
        <w:adjustRightInd w:val="0"/>
        <w:spacing w:after="240" w:line="240" w:lineRule="auto"/>
        <w:jc w:val="both"/>
        <w:rPr>
          <w:rFonts w:cs="Arial"/>
          <w:color w:val="000000"/>
          <w:lang w:val="el-GR"/>
        </w:rPr>
      </w:pPr>
      <w:r w:rsidRPr="00F21089">
        <w:rPr>
          <w:rFonts w:cs="Arial"/>
          <w:color w:val="000000"/>
          <w:lang w:val="el-GR"/>
        </w:rPr>
        <w:t xml:space="preserve">Η τροποποίηση του ΔΛΠ 12 παρέχει μια πρακτική μέθοδο για την επιμέτρηση των αναβαλλόμενων φορολογικών </w:t>
      </w:r>
      <w:r w:rsidRPr="00802C1E">
        <w:rPr>
          <w:rFonts w:cs="Arial"/>
          <w:color w:val="000000"/>
          <w:lang w:val="el-GR"/>
        </w:rPr>
        <w:t>υποχρεώσεων και αναβαλλόμενων φορολογικών περιουσιακών στοιχείων όταν επενδυτικά ακίνητα επιμετρώνται με τη μέθοδο εύλογης αξίας σύμφωνα με το ΔΛΠ 40 «Επενδύσεις σε ακίνητα».</w:t>
      </w:r>
      <w:r w:rsidRPr="00EE6674">
        <w:rPr>
          <w:rFonts w:cs="Arial"/>
          <w:lang w:val="el-GR"/>
        </w:rPr>
        <w:t xml:space="preserve"> </w:t>
      </w:r>
      <w:r w:rsidRPr="00802C1E">
        <w:rPr>
          <w:rFonts w:cs="Arial"/>
          <w:lang w:val="el-GR"/>
        </w:rPr>
        <w:t xml:space="preserve">Η τροποποίηση αυτή </w:t>
      </w:r>
      <w:r>
        <w:rPr>
          <w:rFonts w:cs="Arial"/>
          <w:lang w:val="el-GR"/>
        </w:rPr>
        <w:t>δεν έχει εφαρμογή στην Εταιρεία</w:t>
      </w:r>
      <w:r w:rsidRPr="008D2B2F">
        <w:rPr>
          <w:rFonts w:cs="Arial"/>
          <w:lang w:val="el-GR"/>
        </w:rPr>
        <w:t>.</w:t>
      </w:r>
    </w:p>
    <w:p w:rsidR="004B417C" w:rsidRDefault="004B417C" w:rsidP="000C451A">
      <w:pPr>
        <w:spacing w:after="240" w:line="240" w:lineRule="auto"/>
        <w:rPr>
          <w:rFonts w:cs="Arial"/>
          <w:color w:val="000000"/>
          <w:u w:val="single"/>
          <w:lang w:val="el-GR"/>
        </w:rPr>
      </w:pPr>
      <w:r>
        <w:rPr>
          <w:rFonts w:cs="Arial"/>
          <w:b/>
          <w:color w:val="000000"/>
          <w:lang w:val="el-GR"/>
        </w:rPr>
        <w:t xml:space="preserve">ΔΠΧΑ </w:t>
      </w:r>
      <w:r w:rsidRPr="007E343F">
        <w:rPr>
          <w:rFonts w:cs="Arial"/>
          <w:b/>
          <w:color w:val="000000"/>
          <w:lang w:val="el-GR"/>
        </w:rPr>
        <w:t>1</w:t>
      </w:r>
      <w:r>
        <w:rPr>
          <w:rFonts w:cs="Arial"/>
          <w:b/>
          <w:color w:val="000000"/>
          <w:lang w:val="el-GR"/>
        </w:rPr>
        <w:t>3</w:t>
      </w:r>
      <w:r w:rsidRPr="00F21089">
        <w:rPr>
          <w:rFonts w:cs="Arial"/>
          <w:b/>
          <w:color w:val="000000"/>
          <w:lang w:val="el-GR"/>
        </w:rPr>
        <w:t xml:space="preserve"> «</w:t>
      </w:r>
      <w:r>
        <w:rPr>
          <w:rFonts w:cs="Arial"/>
          <w:b/>
          <w:color w:val="000000"/>
          <w:lang w:val="el-GR"/>
        </w:rPr>
        <w:t>Επιμέτρηση Εύλογης Αξίας</w:t>
      </w:r>
      <w:r w:rsidRPr="00F21089">
        <w:rPr>
          <w:rFonts w:cs="Arial"/>
          <w:b/>
          <w:color w:val="000000"/>
          <w:lang w:val="el-GR"/>
        </w:rPr>
        <w:t>»</w:t>
      </w:r>
      <w:r w:rsidRPr="00F21089">
        <w:rPr>
          <w:rFonts w:cs="Arial"/>
          <w:b/>
          <w:lang w:val="el-GR"/>
        </w:rPr>
        <w:t xml:space="preserve"> </w:t>
      </w:r>
      <w:r w:rsidRPr="00F21089">
        <w:rPr>
          <w:rFonts w:cs="Arial"/>
          <w:color w:val="000000"/>
          <w:u w:val="single"/>
          <w:lang w:val="el-GR"/>
        </w:rPr>
        <w:t>(εφαρμόζεται στις ετήσιες λογιστικές περιόδους που ξεκινούν την ή μετά την 1η Ιανουαρίου 2013)</w:t>
      </w:r>
    </w:p>
    <w:p w:rsidR="004B417C" w:rsidRPr="001C34A5" w:rsidRDefault="004B417C" w:rsidP="000C451A">
      <w:pPr>
        <w:spacing w:after="240" w:line="240" w:lineRule="auto"/>
        <w:jc w:val="both"/>
        <w:rPr>
          <w:lang w:val="el-GR"/>
        </w:rPr>
      </w:pPr>
      <w:r>
        <w:rPr>
          <w:rFonts w:cs="Arial"/>
          <w:color w:val="000000"/>
          <w:lang w:val="el-GR"/>
        </w:rPr>
        <w:t>Το</w:t>
      </w:r>
      <w:r w:rsidRPr="00AE2096">
        <w:rPr>
          <w:rFonts w:cs="Arial"/>
          <w:color w:val="000000"/>
          <w:lang w:val="el-GR"/>
        </w:rPr>
        <w:t xml:space="preserve"> </w:t>
      </w:r>
      <w:r>
        <w:rPr>
          <w:rFonts w:cs="Arial"/>
          <w:color w:val="000000"/>
          <w:lang w:val="el-GR"/>
        </w:rPr>
        <w:t>ΔΠΧΑ 13 παρέχει νέες οδηγίες</w:t>
      </w:r>
      <w:r>
        <w:rPr>
          <w:lang w:val="el-GR"/>
        </w:rPr>
        <w:t xml:space="preserve"> σχετικά με την επιμέτρηση της εύλογης αξίας και τις απαραίτητες γνωστοποιήσεις. Οι απαιτήσεις του προτύπου δεν διευρύνουν τη χρήση των εύλογων αξιών αλλά παρέχουν διευκρινίσεις για την εφαρμογή τους σε περίπτωση που η χρήση τους επιβάλλεται υποχρεωτικά από άλλα πρότυπα. Το ΔΠΧΑ 13 παρέχει ακριβή ορισμό της εύλογης αξίας, καθώς και οδηγίες αναφορικά με την επιμέτρηση της εύλογης αξίας και τις απαραίτητες γνωστοποιήσεις, ανεξάρτητα από το πρότυπο με βάση το οποίο γίνεται χρήση των εύλογων αξιών. Επιπλέον, οι απαραίτητες γνωστοποιήσεις έχουν διευρυνθεί και καλύπτουν όλα τα περιουσιακά στοιχεία και τις υποχρεώσεις που επιμετρούνται στην εύλογη αξία και όχι μόνο τα χρηματοοικονομικά.</w:t>
      </w:r>
    </w:p>
    <w:p w:rsidR="004B417C" w:rsidRPr="00F179DF" w:rsidRDefault="004B417C" w:rsidP="000C451A">
      <w:pPr>
        <w:keepNext/>
        <w:tabs>
          <w:tab w:val="left" w:pos="-720"/>
          <w:tab w:val="left" w:pos="0"/>
          <w:tab w:val="left" w:pos="720"/>
          <w:tab w:val="left" w:pos="1440"/>
          <w:tab w:val="left" w:pos="2160"/>
          <w:tab w:val="left" w:pos="2880"/>
          <w:tab w:val="left" w:pos="3600"/>
          <w:tab w:val="left" w:pos="4320"/>
        </w:tabs>
        <w:autoSpaceDE w:val="0"/>
        <w:autoSpaceDN w:val="0"/>
        <w:adjustRightInd w:val="0"/>
        <w:spacing w:after="240" w:line="240" w:lineRule="auto"/>
        <w:jc w:val="both"/>
        <w:rPr>
          <w:rFonts w:cs="Arial"/>
          <w:color w:val="000000"/>
          <w:u w:val="single"/>
          <w:lang w:val="el-GR"/>
        </w:rPr>
      </w:pPr>
      <w:r w:rsidRPr="00F179DF">
        <w:rPr>
          <w:b/>
          <w:bCs/>
          <w:lang w:val="el-GR"/>
        </w:rPr>
        <w:t>ΔΛΠ 1 (Τροποποίηση) «Παρουσίαση Οικονομικών Καταστάσεων»</w:t>
      </w:r>
      <w:r w:rsidRPr="00F179DF">
        <w:rPr>
          <w:bCs/>
          <w:lang w:val="el-GR"/>
        </w:rPr>
        <w:t xml:space="preserve"> (</w:t>
      </w:r>
      <w:r w:rsidRPr="00F179DF">
        <w:rPr>
          <w:rFonts w:cs="Arial"/>
          <w:color w:val="000000"/>
          <w:u w:val="single"/>
          <w:lang w:val="el-GR"/>
        </w:rPr>
        <w:t>εφαρμόζεται στις ετήσιες λογιστικές περιόδους που ξεκινούν την ή μετά την 1η Ιουλίου 2012)</w:t>
      </w:r>
    </w:p>
    <w:p w:rsidR="004B417C" w:rsidRPr="00634626" w:rsidRDefault="004B417C" w:rsidP="000C451A">
      <w:pPr>
        <w:spacing w:after="240" w:line="240" w:lineRule="auto"/>
        <w:jc w:val="both"/>
        <w:rPr>
          <w:b/>
          <w:bCs/>
          <w:lang w:val="el-GR"/>
        </w:rPr>
      </w:pPr>
      <w:r w:rsidRPr="00F179DF">
        <w:rPr>
          <w:rFonts w:cs="Arial"/>
          <w:color w:val="000000"/>
          <w:lang w:val="el-GR"/>
        </w:rPr>
        <w:t>Αυτή η τροποποίηση απαιτεί από τις οικονομικές οντότητες να διαχωρίσουν τα στοιχεία που παρουσιάζονται στα λοιπά συνολικά εισοδήματα σε δύο ομάδες, με βάση το αν αυτά στο μέλλον είναι πιθανό να μεταφερθούν στα αποτελέσματα χρήσεως ή όχι.</w:t>
      </w:r>
    </w:p>
    <w:p w:rsidR="004B417C" w:rsidRPr="00F179DF" w:rsidRDefault="004B417C" w:rsidP="000C451A">
      <w:pPr>
        <w:spacing w:after="240" w:line="240" w:lineRule="auto"/>
        <w:jc w:val="both"/>
        <w:rPr>
          <w:b/>
          <w:lang w:val="el-GR"/>
        </w:rPr>
      </w:pPr>
      <w:r w:rsidRPr="00F179DF">
        <w:rPr>
          <w:b/>
          <w:bCs/>
          <w:lang w:val="el-GR"/>
        </w:rPr>
        <w:t>ΔΛΠ 19 (Τροποποίηση) «Παροχές σε Εργαζομένους»</w:t>
      </w:r>
      <w:r w:rsidRPr="00F179DF">
        <w:rPr>
          <w:bCs/>
          <w:lang w:val="el-GR"/>
        </w:rPr>
        <w:t xml:space="preserve"> (</w:t>
      </w:r>
      <w:r w:rsidRPr="00F179DF">
        <w:rPr>
          <w:rFonts w:cs="Arial"/>
          <w:color w:val="000000"/>
          <w:u w:val="single"/>
          <w:lang w:val="el-GR"/>
        </w:rPr>
        <w:t>εφαρμόζεται στις ετήσιες λογιστικές περιόδους που ξεκινούν την ή μετά την 1η Ιανουαρίου 2013)</w:t>
      </w:r>
    </w:p>
    <w:p w:rsidR="004B417C" w:rsidRPr="00634626" w:rsidRDefault="004B417C" w:rsidP="000C451A">
      <w:pPr>
        <w:spacing w:after="240" w:line="240" w:lineRule="auto"/>
        <w:jc w:val="both"/>
        <w:rPr>
          <w:rFonts w:cs="Arial"/>
          <w:color w:val="000000"/>
          <w:lang w:val="el-GR"/>
        </w:rPr>
      </w:pPr>
      <w:r w:rsidRPr="00F179DF">
        <w:rPr>
          <w:lang w:val="el-GR"/>
        </w:rPr>
        <w:t>Αυτή η τροποποίηση επιφέρει σημαντικές αλλαγές στην αναγνώριση και επιμέτρηση του κόστους των προγραμμάτων καθορισμένων παροχών</w:t>
      </w:r>
      <w:r w:rsidRPr="00790066">
        <w:rPr>
          <w:lang w:val="el-GR"/>
        </w:rPr>
        <w:t xml:space="preserve"> </w:t>
      </w:r>
      <w:r w:rsidRPr="00F179DF">
        <w:rPr>
          <w:lang w:val="el-GR"/>
        </w:rPr>
        <w:t xml:space="preserve">και των παροχών εξόδου από την </w:t>
      </w:r>
      <w:r w:rsidRPr="000222C2">
        <w:rPr>
          <w:lang w:val="el-GR"/>
        </w:rPr>
        <w:t>υπηρεσία (κατάργηση της μεθόδου του περιθωρίου), καθώς και στις γνωστοποιήσεις όλων των παροχών σε εργαζ</w:t>
      </w:r>
      <w:r w:rsidRPr="00F179DF">
        <w:rPr>
          <w:lang w:val="el-GR"/>
        </w:rPr>
        <w:t>ομένους. Οι βασικές αλλαγές αφορούν κυρίως στην αναγνώριση των αναλογιστικών κερδών και ζημιών, στην αναγνώριση του κόστο</w:t>
      </w:r>
      <w:r>
        <w:rPr>
          <w:lang w:val="el-GR"/>
        </w:rPr>
        <w:t>υς προϋπηρεσίας</w:t>
      </w:r>
      <w:r w:rsidRPr="00F179DF">
        <w:rPr>
          <w:lang w:val="el-GR"/>
        </w:rPr>
        <w:t>/ περικοπών, στην επιμέτρηση του εξόδου συντάξεων, στις απαιτούμενες γνωστοποιήσεις, στο χειρισμό των εξόδων και των φόρων που σχετίζονται με τα προγράμματα καθορισμένων παροχών, καθώς και στη διάκριση μεταξύ βραχυπρόθεσ</w:t>
      </w:r>
      <w:r>
        <w:rPr>
          <w:lang w:val="el-GR"/>
        </w:rPr>
        <w:t>μων και μακροπρόθεσμων παροχών.</w:t>
      </w:r>
    </w:p>
    <w:p w:rsidR="004B417C" w:rsidRPr="0070514D" w:rsidRDefault="004B417C" w:rsidP="000C451A">
      <w:pPr>
        <w:spacing w:after="240" w:line="240" w:lineRule="auto"/>
        <w:jc w:val="both"/>
        <w:rPr>
          <w:b/>
          <w:lang w:val="el-GR"/>
        </w:rPr>
      </w:pPr>
      <w:r w:rsidRPr="0070514D">
        <w:rPr>
          <w:b/>
          <w:lang w:val="el-GR"/>
        </w:rPr>
        <w:t xml:space="preserve">ΔΠΧΑ 7 (Τροποποίηση) «Χρηματοοικονομικά Μέσα: Γνωστοποιήσεις» </w:t>
      </w:r>
      <w:r w:rsidRPr="0070514D">
        <w:rPr>
          <w:u w:val="single"/>
          <w:lang w:val="el-GR"/>
        </w:rPr>
        <w:t>(</w:t>
      </w:r>
      <w:r w:rsidRPr="0070514D">
        <w:rPr>
          <w:rFonts w:cs="Arial"/>
          <w:color w:val="000000"/>
          <w:u w:val="single"/>
          <w:lang w:val="el-GR" w:eastAsia="el-GR"/>
        </w:rPr>
        <w:t>εφαρμόζεται στις ετήσιες λογιστικές περιόδους που ξεκινούν την ή μετά την 1η Ιανουαρίου</w:t>
      </w:r>
      <w:r w:rsidRPr="0070514D">
        <w:rPr>
          <w:bCs/>
          <w:spacing w:val="-2"/>
          <w:u w:val="single"/>
          <w:lang w:val="el-GR"/>
        </w:rPr>
        <w:t xml:space="preserve"> 2013)</w:t>
      </w:r>
    </w:p>
    <w:p w:rsidR="004B417C" w:rsidRPr="002F47C6" w:rsidRDefault="004B417C" w:rsidP="000C451A">
      <w:pPr>
        <w:autoSpaceDE w:val="0"/>
        <w:autoSpaceDN w:val="0"/>
        <w:adjustRightInd w:val="0"/>
        <w:spacing w:after="240" w:line="240" w:lineRule="auto"/>
        <w:jc w:val="both"/>
        <w:rPr>
          <w:rFonts w:cs="Arial"/>
          <w:color w:val="000000"/>
          <w:lang w:val="el-GR"/>
        </w:rPr>
      </w:pPr>
      <w:r w:rsidRPr="0070514D">
        <w:rPr>
          <w:bCs/>
          <w:lang w:val="el-GR"/>
        </w:rPr>
        <w:t>Το ΣΔΛΠ δημοσίευσε αυτή την τροποποίηση π</w:t>
      </w:r>
      <w:r>
        <w:rPr>
          <w:bCs/>
          <w:lang w:val="el-GR"/>
        </w:rPr>
        <w:t>ροκειμένου να συμπεριλάβει επιπλέον</w:t>
      </w:r>
      <w:r w:rsidRPr="002F47C6">
        <w:rPr>
          <w:bCs/>
          <w:lang w:val="el-GR"/>
        </w:rPr>
        <w:t xml:space="preserve"> πληροφόρηση η οποία θα βοηθήσει τους χρήστες των οικονομικών καταστάσεων μίας οικονομικής οντότητας να αξιολογήσουν την επίδραση ή την πιθανή επίδραση που θα έχουν οι συμφωνίες για διακανονισμό χρηματοοικονομικών περιουσιακών στοιχείων και υποχρεώσεων, συμπεριλαμβανομένου του δικαιώματος για συμψηφισμό που σχετίζ</w:t>
      </w:r>
      <w:r>
        <w:rPr>
          <w:bCs/>
          <w:lang w:val="el-GR"/>
        </w:rPr>
        <w:t>εται</w:t>
      </w:r>
      <w:r w:rsidRPr="002F47C6">
        <w:rPr>
          <w:bCs/>
          <w:lang w:val="el-GR"/>
        </w:rPr>
        <w:t xml:space="preserve"> με αναγνωρισμένα χρηματοοικονομικά περιουσιακά στοιχεία και υποχρεώσεις, στην οικονομική θέση της οικονομικής οντότητας.</w:t>
      </w:r>
    </w:p>
    <w:p w:rsidR="008A4CC2" w:rsidRDefault="008A4CC2" w:rsidP="000C451A">
      <w:pPr>
        <w:spacing w:after="240" w:line="240" w:lineRule="auto"/>
        <w:jc w:val="both"/>
        <w:rPr>
          <w:b/>
          <w:lang w:val="el-GR"/>
        </w:rPr>
      </w:pPr>
    </w:p>
    <w:p w:rsidR="004B417C" w:rsidRPr="00D46938" w:rsidRDefault="004B417C" w:rsidP="000C451A">
      <w:pPr>
        <w:spacing w:after="240" w:line="240" w:lineRule="auto"/>
        <w:jc w:val="both"/>
        <w:rPr>
          <w:b/>
          <w:lang w:val="el-GR"/>
        </w:rPr>
      </w:pPr>
      <w:r w:rsidRPr="00D46938">
        <w:rPr>
          <w:b/>
          <w:lang w:val="el-GR"/>
        </w:rPr>
        <w:lastRenderedPageBreak/>
        <w:t xml:space="preserve">ΔΛΠ 32 (Τροποποίηση) «Χρηματοοικονομικά Μέσα: Παρουσίαση» </w:t>
      </w:r>
      <w:r w:rsidRPr="00D46938">
        <w:rPr>
          <w:u w:val="single"/>
          <w:lang w:val="el-GR"/>
        </w:rPr>
        <w:t>(</w:t>
      </w:r>
      <w:r w:rsidRPr="00D46938">
        <w:rPr>
          <w:rFonts w:cs="Arial"/>
          <w:color w:val="000000"/>
          <w:u w:val="single"/>
          <w:lang w:val="el-GR" w:eastAsia="el-GR"/>
        </w:rPr>
        <w:t>εφαρμόζεται στις ετήσιες λογιστικές περιόδους που ξεκινούν την ή μετά την 1η Ιανουαρίου</w:t>
      </w:r>
      <w:r w:rsidRPr="00D46938">
        <w:rPr>
          <w:bCs/>
          <w:spacing w:val="-2"/>
          <w:u w:val="single"/>
          <w:lang w:val="el-GR"/>
        </w:rPr>
        <w:t xml:space="preserve"> 2014)</w:t>
      </w:r>
    </w:p>
    <w:p w:rsidR="004B417C" w:rsidRPr="00D0060F" w:rsidRDefault="004B417C" w:rsidP="000C451A">
      <w:pPr>
        <w:autoSpaceDE w:val="0"/>
        <w:autoSpaceDN w:val="0"/>
        <w:adjustRightInd w:val="0"/>
        <w:spacing w:after="240" w:line="240" w:lineRule="auto"/>
        <w:jc w:val="both"/>
        <w:rPr>
          <w:rFonts w:cs="Arial"/>
          <w:color w:val="000000"/>
          <w:lang w:val="el-GR"/>
        </w:rPr>
      </w:pPr>
      <w:r w:rsidRPr="00D46938">
        <w:rPr>
          <w:lang w:val="el-GR"/>
        </w:rPr>
        <w:t>Αυτή η τροποποίηση στις οδηγίες εφαρμογής του ΔΛΠ 32 παρέχει διευκρινήσεις σχετικά με κάποιες απαιτήσεις για τον συμψηφισμό χρηματοοικονομικών περιουσιακών στοιχείων και υποχρεώσεων στην κατάσταση οικονομικής θέσης.</w:t>
      </w:r>
    </w:p>
    <w:p w:rsidR="004B417C" w:rsidRPr="001765B6" w:rsidRDefault="004B417C" w:rsidP="000C451A">
      <w:pPr>
        <w:autoSpaceDE w:val="0"/>
        <w:autoSpaceDN w:val="0"/>
        <w:adjustRightInd w:val="0"/>
        <w:spacing w:after="240" w:line="240" w:lineRule="auto"/>
        <w:rPr>
          <w:b/>
          <w:lang w:val="el-GR"/>
        </w:rPr>
      </w:pPr>
      <w:r w:rsidRPr="001765B6">
        <w:rPr>
          <w:b/>
          <w:lang w:val="el-GR"/>
        </w:rPr>
        <w:t xml:space="preserve">Ομάδα προτύπων σχετικά με ενοποίηση και από κοινού </w:t>
      </w:r>
      <w:r>
        <w:rPr>
          <w:b/>
          <w:lang w:val="el-GR"/>
        </w:rPr>
        <w:t>συμφωνίες</w:t>
      </w:r>
      <w:r w:rsidRPr="001765B6">
        <w:rPr>
          <w:b/>
          <w:lang w:val="el-GR"/>
        </w:rPr>
        <w:t xml:space="preserve"> </w:t>
      </w:r>
      <w:r w:rsidRPr="001765B6">
        <w:rPr>
          <w:u w:val="single"/>
          <w:lang w:val="el-GR"/>
        </w:rPr>
        <w:t>(</w:t>
      </w:r>
      <w:r w:rsidRPr="001765B6">
        <w:rPr>
          <w:rFonts w:cs="Arial"/>
          <w:color w:val="000000"/>
          <w:u w:val="single"/>
          <w:lang w:val="el-GR"/>
        </w:rPr>
        <w:t>εφαρμόζονται στις ετήσιες λογιστικές περιόδους που ξεκινούν την ή μετά την 1η Ιανουαρίου 201</w:t>
      </w:r>
      <w:r>
        <w:rPr>
          <w:rFonts w:cs="Arial"/>
          <w:color w:val="000000"/>
          <w:u w:val="single"/>
          <w:lang w:val="el-GR"/>
        </w:rPr>
        <w:t>4</w:t>
      </w:r>
      <w:r w:rsidRPr="001765B6">
        <w:rPr>
          <w:bCs/>
          <w:spacing w:val="-2"/>
          <w:u w:val="single"/>
          <w:lang w:val="el-GR"/>
        </w:rPr>
        <w:t>)</w:t>
      </w:r>
    </w:p>
    <w:p w:rsidR="004B417C" w:rsidRDefault="004B417C" w:rsidP="000C451A">
      <w:pPr>
        <w:autoSpaceDE w:val="0"/>
        <w:autoSpaceDN w:val="0"/>
        <w:adjustRightInd w:val="0"/>
        <w:spacing w:after="240" w:line="240" w:lineRule="auto"/>
        <w:jc w:val="both"/>
        <w:rPr>
          <w:rFonts w:cs="Arial"/>
          <w:color w:val="000000"/>
          <w:lang w:val="el-GR"/>
        </w:rPr>
      </w:pPr>
      <w:r w:rsidRPr="001765B6">
        <w:rPr>
          <w:lang w:val="el-GR"/>
        </w:rPr>
        <w:t xml:space="preserve">Το </w:t>
      </w:r>
      <w:r w:rsidRPr="001765B6">
        <w:rPr>
          <w:rFonts w:cs="Arial"/>
          <w:color w:val="000000"/>
          <w:lang w:val="el-GR"/>
        </w:rPr>
        <w:t xml:space="preserve">ΣΔΛΠ </w:t>
      </w:r>
      <w:r>
        <w:rPr>
          <w:lang w:val="el-GR"/>
        </w:rPr>
        <w:t>δημοσίευσε πέντε νέα πρότυπα σχετικά με ενοποίηση και τις από κοινού συμφωνίες: ΔΠΧΑ 10, ΔΠΧΑ 11, ΔΠΧΑ 12, ΔΛΠ 27 (Τροποποίηση), ΔΛΠ 28 (Τροποποίηση). Αυτά τα πρότυπα εφαρμόζονται στις ετήσιες λογιστικές περιόδους που ξεκινούν την ή μετά την 1</w:t>
      </w:r>
      <w:r w:rsidRPr="001765B6">
        <w:rPr>
          <w:vertAlign w:val="superscript"/>
          <w:lang w:val="el-GR"/>
        </w:rPr>
        <w:t>η</w:t>
      </w:r>
      <w:r>
        <w:rPr>
          <w:lang w:val="el-GR"/>
        </w:rPr>
        <w:t xml:space="preserve"> Ιανουαρίου 2014. Επιτρέπεται η πρόωρη εφαρμογή τους μόνο εάν ταυτόχρονα εφαρμοστούν και τα πέντε αυτά πρότυπα. </w:t>
      </w:r>
      <w:r>
        <w:rPr>
          <w:rFonts w:cs="Arial"/>
          <w:color w:val="000000"/>
          <w:lang w:val="el-GR"/>
        </w:rPr>
        <w:t>Η Εταιρεία</w:t>
      </w:r>
      <w:r w:rsidRPr="00F21089">
        <w:rPr>
          <w:rFonts w:cs="Arial"/>
          <w:color w:val="000000"/>
          <w:lang w:val="el-GR"/>
        </w:rPr>
        <w:t xml:space="preserve"> βρίσκεται στη διαδι</w:t>
      </w:r>
      <w:r>
        <w:rPr>
          <w:rFonts w:cs="Arial"/>
          <w:color w:val="000000"/>
          <w:lang w:val="el-GR"/>
        </w:rPr>
        <w:t>κασία εκτίμησης της επίδρασης των νέων προτύπων στις οικονομικές της</w:t>
      </w:r>
      <w:r w:rsidRPr="00F21089">
        <w:rPr>
          <w:rFonts w:cs="Arial"/>
          <w:color w:val="000000"/>
          <w:lang w:val="el-GR"/>
        </w:rPr>
        <w:t xml:space="preserve"> καταστάσεις.</w:t>
      </w:r>
      <w:r>
        <w:rPr>
          <w:rFonts w:cs="Arial"/>
          <w:color w:val="000000"/>
          <w:lang w:val="el-GR"/>
        </w:rPr>
        <w:t xml:space="preserve"> Οι κυριότεροι όροι των προτύπων είναι οι εξής: </w:t>
      </w:r>
    </w:p>
    <w:p w:rsidR="004B417C" w:rsidRPr="00AE2096" w:rsidRDefault="004B417C" w:rsidP="000C451A">
      <w:pPr>
        <w:spacing w:after="240" w:line="240" w:lineRule="auto"/>
        <w:jc w:val="both"/>
        <w:rPr>
          <w:rFonts w:cs="Arial"/>
          <w:u w:val="single"/>
          <w:lang w:val="el-GR"/>
        </w:rPr>
      </w:pPr>
      <w:r>
        <w:rPr>
          <w:rFonts w:cs="Arial"/>
          <w:b/>
          <w:color w:val="000000"/>
          <w:lang w:val="el-GR"/>
        </w:rPr>
        <w:t>ΔΠΧΑ</w:t>
      </w:r>
      <w:r w:rsidRPr="00AE2096">
        <w:rPr>
          <w:rFonts w:cs="Arial"/>
          <w:b/>
          <w:color w:val="000000"/>
          <w:lang w:val="el-GR"/>
        </w:rPr>
        <w:t xml:space="preserve"> 10 «</w:t>
      </w:r>
      <w:r>
        <w:rPr>
          <w:rFonts w:cs="Arial"/>
          <w:b/>
          <w:color w:val="000000"/>
          <w:lang w:val="el-GR"/>
        </w:rPr>
        <w:t>Ενοποιημένες</w:t>
      </w:r>
      <w:r w:rsidRPr="00AE2096">
        <w:rPr>
          <w:rFonts w:cs="Arial"/>
          <w:b/>
          <w:color w:val="000000"/>
          <w:lang w:val="el-GR"/>
        </w:rPr>
        <w:t xml:space="preserve"> </w:t>
      </w:r>
      <w:r>
        <w:rPr>
          <w:rFonts w:cs="Arial"/>
          <w:b/>
          <w:color w:val="000000"/>
          <w:lang w:val="el-GR"/>
        </w:rPr>
        <w:t>Οικονομικές</w:t>
      </w:r>
      <w:r w:rsidRPr="00AE2096">
        <w:rPr>
          <w:rFonts w:cs="Arial"/>
          <w:b/>
          <w:color w:val="000000"/>
          <w:lang w:val="el-GR"/>
        </w:rPr>
        <w:t xml:space="preserve"> </w:t>
      </w:r>
      <w:r>
        <w:rPr>
          <w:rFonts w:cs="Arial"/>
          <w:b/>
          <w:color w:val="000000"/>
          <w:lang w:val="el-GR"/>
        </w:rPr>
        <w:t>Καταστάσεις</w:t>
      </w:r>
      <w:r w:rsidRPr="00AE2096">
        <w:rPr>
          <w:rFonts w:cs="Arial"/>
          <w:b/>
          <w:color w:val="000000"/>
          <w:lang w:val="el-GR"/>
        </w:rPr>
        <w:t>»</w:t>
      </w:r>
      <w:r w:rsidRPr="00AE2096">
        <w:rPr>
          <w:rFonts w:cs="Arial"/>
          <w:b/>
          <w:lang w:val="el-GR"/>
        </w:rPr>
        <w:t xml:space="preserve"> </w:t>
      </w:r>
    </w:p>
    <w:p w:rsidR="004B417C" w:rsidRDefault="004B417C" w:rsidP="000C451A">
      <w:pPr>
        <w:spacing w:after="240" w:line="240" w:lineRule="auto"/>
        <w:jc w:val="both"/>
        <w:rPr>
          <w:lang w:val="el-GR"/>
        </w:rPr>
      </w:pPr>
      <w:r w:rsidRPr="00A510DC">
        <w:rPr>
          <w:lang w:val="el-GR"/>
        </w:rPr>
        <w:t xml:space="preserve">Το ΔΠΧΑ 10 αντικαθιστά στο σύνολό τους τις </w:t>
      </w:r>
      <w:r>
        <w:rPr>
          <w:lang w:val="el-GR"/>
        </w:rPr>
        <w:t>οδηγίες</w:t>
      </w:r>
      <w:r w:rsidRPr="00A510DC">
        <w:rPr>
          <w:lang w:val="el-GR"/>
        </w:rPr>
        <w:t xml:space="preserve"> αναφορικά με τον έλεγχο και την ενοποίηση</w:t>
      </w:r>
      <w:r>
        <w:rPr>
          <w:lang w:val="el-GR"/>
        </w:rPr>
        <w:t>, που παρέχονται στο</w:t>
      </w:r>
      <w:r w:rsidRPr="00A510DC">
        <w:rPr>
          <w:lang w:val="el-GR"/>
        </w:rPr>
        <w:t xml:space="preserve"> ΔΛΠ 27 και</w:t>
      </w:r>
      <w:r>
        <w:rPr>
          <w:lang w:val="el-GR"/>
        </w:rPr>
        <w:t xml:space="preserve"> στο</w:t>
      </w:r>
      <w:r w:rsidRPr="00A510DC">
        <w:rPr>
          <w:lang w:val="el-GR"/>
        </w:rPr>
        <w:t xml:space="preserve"> </w:t>
      </w:r>
      <w:r>
        <w:t>SIC</w:t>
      </w:r>
      <w:r w:rsidRPr="00A510DC">
        <w:rPr>
          <w:lang w:val="el-GR"/>
        </w:rPr>
        <w:t xml:space="preserve"> 12. Το νέο πρότυπο αλλάζει τον ορισμό του ελέγχου ως καθοριστικού παράγοντα προκειμένου να αποφασιστεί εάν μια οικονομική οντότητα θα πρέπει να </w:t>
      </w:r>
      <w:r>
        <w:rPr>
          <w:lang w:val="el-GR"/>
        </w:rPr>
        <w:t xml:space="preserve">ενοποιείται. Το πρότυπο παρέχει εκτεταμένες διευκρινίσεις που υπαγορεύουν τους διαφορετικούς τρόπους κατά τους οποίους μία οικονομική οντότητα (επενδυτής) μπορεί να ελέγχει μία άλλη οικονομική οντότητα (επένδυση). Ο αναθεωρημένος ορισμός του ελέγχου εστιάζει στην ανάγκη να υπάρχει ταυτόχρονα το δικαίωμα (η δυνατότητα να κατευθύνονται οι δραστηριότητες που επηρεάζουν σημαντικά τις αποδόσεις) και οι μεταβλητές αποδόσεις (θετικές, αρνητικές ή και τα δύο) προκειμένου να υπάρχει έλεγχος. Τα νέο πρότυπο παρέχει επίσης διευκρινίσεις αναφορικά με συμμετοχικά δικαιώματα και </w:t>
      </w:r>
      <w:r w:rsidRPr="00213383">
        <w:rPr>
          <w:lang w:val="el-GR"/>
        </w:rPr>
        <w:t>δικαιώματα</w:t>
      </w:r>
      <w:r>
        <w:rPr>
          <w:lang w:val="el-GR"/>
        </w:rPr>
        <w:t xml:space="preserve"> άσκησης βέτο (</w:t>
      </w:r>
      <w:r>
        <w:t>protective</w:t>
      </w:r>
      <w:r w:rsidRPr="00213383">
        <w:rPr>
          <w:lang w:val="el-GR"/>
        </w:rPr>
        <w:t xml:space="preserve"> </w:t>
      </w:r>
      <w:r>
        <w:t>rights</w:t>
      </w:r>
      <w:r w:rsidRPr="00213383">
        <w:rPr>
          <w:lang w:val="el-GR"/>
        </w:rPr>
        <w:t>)</w:t>
      </w:r>
      <w:r>
        <w:rPr>
          <w:lang w:val="el-GR"/>
        </w:rPr>
        <w:t>, καθώς επίσης και αναφορικά με σχέσεις πρακτόρευσης / πρακτορευομένου.</w:t>
      </w:r>
    </w:p>
    <w:p w:rsidR="004B417C" w:rsidRPr="00F21089" w:rsidRDefault="004B417C" w:rsidP="000C451A">
      <w:pPr>
        <w:spacing w:after="240" w:line="240" w:lineRule="auto"/>
        <w:jc w:val="both"/>
        <w:rPr>
          <w:rFonts w:cs="Arial"/>
          <w:u w:val="single"/>
          <w:lang w:val="el-GR"/>
        </w:rPr>
      </w:pPr>
      <w:r>
        <w:rPr>
          <w:rFonts w:cs="Arial"/>
          <w:b/>
          <w:color w:val="000000"/>
          <w:lang w:val="el-GR"/>
        </w:rPr>
        <w:t xml:space="preserve">ΔΠΧΑ </w:t>
      </w:r>
      <w:r w:rsidRPr="007E343F">
        <w:rPr>
          <w:rFonts w:cs="Arial"/>
          <w:b/>
          <w:color w:val="000000"/>
          <w:lang w:val="el-GR"/>
        </w:rPr>
        <w:t>1</w:t>
      </w:r>
      <w:r>
        <w:rPr>
          <w:rFonts w:cs="Arial"/>
          <w:b/>
          <w:color w:val="000000"/>
          <w:lang w:val="el-GR"/>
        </w:rPr>
        <w:t>1</w:t>
      </w:r>
      <w:r w:rsidRPr="00F21089">
        <w:rPr>
          <w:rFonts w:cs="Arial"/>
          <w:b/>
          <w:color w:val="000000"/>
          <w:lang w:val="el-GR"/>
        </w:rPr>
        <w:t xml:space="preserve"> «</w:t>
      </w:r>
      <w:r>
        <w:rPr>
          <w:rFonts w:cs="Arial"/>
          <w:b/>
          <w:color w:val="000000"/>
          <w:lang w:val="el-GR"/>
        </w:rPr>
        <w:t>Από κοινού Συμφωνίες</w:t>
      </w:r>
      <w:r w:rsidRPr="00F21089">
        <w:rPr>
          <w:rFonts w:cs="Arial"/>
          <w:b/>
          <w:color w:val="000000"/>
          <w:lang w:val="el-GR"/>
        </w:rPr>
        <w:t>»</w:t>
      </w:r>
      <w:r w:rsidRPr="00F21089">
        <w:rPr>
          <w:rFonts w:cs="Arial"/>
          <w:b/>
          <w:lang w:val="el-GR"/>
        </w:rPr>
        <w:t xml:space="preserve"> </w:t>
      </w:r>
    </w:p>
    <w:p w:rsidR="004B417C" w:rsidRDefault="004B417C" w:rsidP="000C451A">
      <w:pPr>
        <w:spacing w:after="240" w:line="240" w:lineRule="auto"/>
        <w:jc w:val="both"/>
        <w:rPr>
          <w:lang w:val="el-GR"/>
        </w:rPr>
      </w:pPr>
      <w:r>
        <w:rPr>
          <w:lang w:val="el-GR"/>
        </w:rPr>
        <w:t>Το ΔΠΧΑ 11 παρέχει μια πιο ρεαλιστική αντιμετώπιση των από κοινού συμφωνιών εστιάζοντας στα δικαιώματα και τις υποχρεώσεις, παρά στη νομική τους μορφή. Οι τύποι των συμφωνιών περιορίζονται σε δύο: από κοινού ελεγχόμενες δραστηριότητες και κοινοπραξίες. Η μέθοδος της αναλογικής ενοποίησης δεν είναι πλέον επιτρεπτή. Οι συμμετέχοντες σε κοινοπραξίες εφαρμόζουν υποχρεωτικά την ενοποίηση με τη μέθοδο της καθαρής θέσης. Οι οικονομικές οντότητες που συμμετέχουν σε από κοινού ελεγχόμενες δραστηριότητες εφαρμόζουν παρόμοιο λογιστικό χειρισμό με αυτόν που εφαρμόζουν επί του παρόντος οι συμμετέχοντες σε από κοινού ελεγχόμενα περιουσιακά στοιχεία ή σε από κοινού ελεγχόμενες δραστηριότητες. Το πρότυπο παρέχει επίσης διευκρινίσεις σχετικά με τους συμμετέχοντες σε από κοινού συμφωνίες, χωρίς να υπάρχει από κοινού έλεγχος.</w:t>
      </w:r>
    </w:p>
    <w:p w:rsidR="004B417C" w:rsidRDefault="004B417C" w:rsidP="000C451A">
      <w:pPr>
        <w:spacing w:after="240" w:line="240" w:lineRule="auto"/>
        <w:jc w:val="both"/>
        <w:rPr>
          <w:rFonts w:cs="Arial"/>
          <w:color w:val="000000"/>
          <w:u w:val="single"/>
          <w:lang w:val="el-GR"/>
        </w:rPr>
      </w:pPr>
      <w:r>
        <w:rPr>
          <w:rFonts w:cs="Arial"/>
          <w:b/>
          <w:color w:val="000000"/>
          <w:lang w:val="el-GR"/>
        </w:rPr>
        <w:t xml:space="preserve">ΔΠΧΑ </w:t>
      </w:r>
      <w:r w:rsidRPr="007E343F">
        <w:rPr>
          <w:rFonts w:cs="Arial"/>
          <w:b/>
          <w:color w:val="000000"/>
          <w:lang w:val="el-GR"/>
        </w:rPr>
        <w:t>1</w:t>
      </w:r>
      <w:r>
        <w:rPr>
          <w:rFonts w:cs="Arial"/>
          <w:b/>
          <w:color w:val="000000"/>
          <w:lang w:val="el-GR"/>
        </w:rPr>
        <w:t>2</w:t>
      </w:r>
      <w:r w:rsidRPr="00F21089">
        <w:rPr>
          <w:rFonts w:cs="Arial"/>
          <w:b/>
          <w:color w:val="000000"/>
          <w:lang w:val="el-GR"/>
        </w:rPr>
        <w:t xml:space="preserve"> «</w:t>
      </w:r>
      <w:r>
        <w:rPr>
          <w:rFonts w:cs="Arial"/>
          <w:b/>
          <w:color w:val="000000"/>
          <w:lang w:val="el-GR"/>
        </w:rPr>
        <w:t>Γνωστοποίηση συμμετοχής σε άλλες οικονομικές οντότητες</w:t>
      </w:r>
      <w:r w:rsidRPr="00F21089">
        <w:rPr>
          <w:rFonts w:cs="Arial"/>
          <w:b/>
          <w:color w:val="000000"/>
          <w:lang w:val="el-GR"/>
        </w:rPr>
        <w:t>»</w:t>
      </w:r>
      <w:r w:rsidRPr="00F21089">
        <w:rPr>
          <w:rFonts w:cs="Arial"/>
          <w:b/>
          <w:lang w:val="el-GR"/>
        </w:rPr>
        <w:t xml:space="preserve"> </w:t>
      </w:r>
    </w:p>
    <w:p w:rsidR="004B417C" w:rsidRDefault="004B417C" w:rsidP="000C451A">
      <w:pPr>
        <w:spacing w:after="240" w:line="240" w:lineRule="auto"/>
        <w:jc w:val="both"/>
        <w:rPr>
          <w:rFonts w:cs="Arial"/>
          <w:color w:val="000000"/>
          <w:lang w:val="el-GR"/>
        </w:rPr>
      </w:pPr>
      <w:r>
        <w:rPr>
          <w:rFonts w:cs="Arial"/>
          <w:color w:val="000000"/>
          <w:lang w:val="el-GR"/>
        </w:rPr>
        <w:t xml:space="preserve">Το ΔΠΧΑ 12 αναφέρεται στις απαιτούμενες γνωστοποιήσεις μιας οικονομικής οντότητας, συμπεριλαμβανομένων σημαντικών κρίσεων και υποθέσεων, οι οποίες επιτρέπουν στους αναγνώστες των οικονομικών καταστάσεων να αξιολογήσουν τη φύση, τους κινδύνους και τις οικονομικές επιπτώσεις που σχετίζονται με τη συμμετοχή της οικονομικής οντότητας σε θυγατρικές, συγγενείς, από κοινού συμφωνίες και </w:t>
      </w:r>
      <w:r w:rsidRPr="00641FC8">
        <w:rPr>
          <w:rFonts w:cs="Arial"/>
          <w:color w:val="000000"/>
          <w:lang w:val="el-GR"/>
        </w:rPr>
        <w:t>μη ενοποιούμενες οικονομικές οντότητες</w:t>
      </w:r>
      <w:r w:rsidRPr="00C533D1">
        <w:rPr>
          <w:rFonts w:cs="Arial"/>
          <w:color w:val="000000"/>
          <w:lang w:val="el-GR"/>
        </w:rPr>
        <w:t xml:space="preserve"> (</w:t>
      </w:r>
      <w:r>
        <w:rPr>
          <w:rFonts w:cs="Arial"/>
          <w:color w:val="000000"/>
        </w:rPr>
        <w:t>structured</w:t>
      </w:r>
      <w:r w:rsidRPr="00C533D1">
        <w:rPr>
          <w:rFonts w:cs="Arial"/>
          <w:color w:val="000000"/>
          <w:lang w:val="el-GR"/>
        </w:rPr>
        <w:t xml:space="preserve"> </w:t>
      </w:r>
      <w:r>
        <w:rPr>
          <w:rFonts w:cs="Arial"/>
          <w:color w:val="000000"/>
        </w:rPr>
        <w:t>entities</w:t>
      </w:r>
      <w:r w:rsidRPr="00C533D1">
        <w:rPr>
          <w:rFonts w:cs="Arial"/>
          <w:color w:val="000000"/>
          <w:lang w:val="el-GR"/>
        </w:rPr>
        <w:t>)</w:t>
      </w:r>
      <w:r>
        <w:rPr>
          <w:rFonts w:cs="Arial"/>
          <w:color w:val="000000"/>
          <w:lang w:val="el-GR"/>
        </w:rPr>
        <w:t>. Μία</w:t>
      </w:r>
      <w:r w:rsidRPr="00262BAD">
        <w:rPr>
          <w:rFonts w:cs="Arial"/>
          <w:color w:val="000000"/>
          <w:lang w:val="el-GR"/>
        </w:rPr>
        <w:t xml:space="preserve"> </w:t>
      </w:r>
      <w:r>
        <w:rPr>
          <w:rFonts w:cs="Arial"/>
          <w:color w:val="000000"/>
          <w:lang w:val="el-GR"/>
        </w:rPr>
        <w:t>οικονομική</w:t>
      </w:r>
      <w:r w:rsidRPr="00262BAD">
        <w:rPr>
          <w:rFonts w:cs="Arial"/>
          <w:color w:val="000000"/>
          <w:lang w:val="el-GR"/>
        </w:rPr>
        <w:t xml:space="preserve"> </w:t>
      </w:r>
      <w:r>
        <w:rPr>
          <w:rFonts w:cs="Arial"/>
          <w:color w:val="000000"/>
          <w:lang w:val="el-GR"/>
        </w:rPr>
        <w:t>οντότητα</w:t>
      </w:r>
      <w:r w:rsidRPr="00262BAD">
        <w:rPr>
          <w:rFonts w:cs="Arial"/>
          <w:color w:val="000000"/>
          <w:lang w:val="el-GR"/>
        </w:rPr>
        <w:t xml:space="preserve"> </w:t>
      </w:r>
      <w:r>
        <w:rPr>
          <w:rFonts w:cs="Arial"/>
          <w:color w:val="000000"/>
          <w:lang w:val="el-GR"/>
        </w:rPr>
        <w:t>έχει</w:t>
      </w:r>
      <w:r w:rsidRPr="00262BAD">
        <w:rPr>
          <w:rFonts w:cs="Arial"/>
          <w:color w:val="000000"/>
          <w:lang w:val="el-GR"/>
        </w:rPr>
        <w:t xml:space="preserve"> </w:t>
      </w:r>
      <w:r>
        <w:rPr>
          <w:rFonts w:cs="Arial"/>
          <w:color w:val="000000"/>
          <w:lang w:val="el-GR"/>
        </w:rPr>
        <w:lastRenderedPageBreak/>
        <w:t>τη</w:t>
      </w:r>
      <w:r w:rsidRPr="00262BAD">
        <w:rPr>
          <w:rFonts w:cs="Arial"/>
          <w:color w:val="000000"/>
          <w:lang w:val="el-GR"/>
        </w:rPr>
        <w:t xml:space="preserve"> </w:t>
      </w:r>
      <w:r>
        <w:rPr>
          <w:rFonts w:cs="Arial"/>
          <w:color w:val="000000"/>
          <w:lang w:val="el-GR"/>
        </w:rPr>
        <w:t>δυνατότητα</w:t>
      </w:r>
      <w:r w:rsidRPr="00262BAD">
        <w:rPr>
          <w:rFonts w:cs="Arial"/>
          <w:color w:val="000000"/>
          <w:lang w:val="el-GR"/>
        </w:rPr>
        <w:t xml:space="preserve"> </w:t>
      </w:r>
      <w:r>
        <w:rPr>
          <w:rFonts w:cs="Arial"/>
          <w:color w:val="000000"/>
          <w:lang w:val="el-GR"/>
        </w:rPr>
        <w:t>να</w:t>
      </w:r>
      <w:r w:rsidRPr="00262BAD">
        <w:rPr>
          <w:rFonts w:cs="Arial"/>
          <w:color w:val="000000"/>
          <w:lang w:val="el-GR"/>
        </w:rPr>
        <w:t xml:space="preserve"> </w:t>
      </w:r>
      <w:r>
        <w:rPr>
          <w:rFonts w:cs="Arial"/>
          <w:color w:val="000000"/>
          <w:lang w:val="el-GR"/>
        </w:rPr>
        <w:t>προβεί</w:t>
      </w:r>
      <w:r w:rsidRPr="00262BAD">
        <w:rPr>
          <w:rFonts w:cs="Arial"/>
          <w:color w:val="000000"/>
          <w:lang w:val="el-GR"/>
        </w:rPr>
        <w:t xml:space="preserve"> </w:t>
      </w:r>
      <w:r>
        <w:rPr>
          <w:rFonts w:cs="Arial"/>
          <w:color w:val="000000"/>
          <w:lang w:val="el-GR"/>
        </w:rPr>
        <w:t>σε</w:t>
      </w:r>
      <w:r w:rsidRPr="00262BAD">
        <w:rPr>
          <w:rFonts w:cs="Arial"/>
          <w:color w:val="000000"/>
          <w:lang w:val="el-GR"/>
        </w:rPr>
        <w:t xml:space="preserve"> </w:t>
      </w:r>
      <w:r>
        <w:rPr>
          <w:rFonts w:cs="Arial"/>
          <w:color w:val="000000"/>
          <w:lang w:val="el-GR"/>
        </w:rPr>
        <w:t>κάποιες</w:t>
      </w:r>
      <w:r w:rsidRPr="00262BAD">
        <w:rPr>
          <w:rFonts w:cs="Arial"/>
          <w:color w:val="000000"/>
          <w:lang w:val="el-GR"/>
        </w:rPr>
        <w:t xml:space="preserve"> </w:t>
      </w:r>
      <w:r>
        <w:rPr>
          <w:rFonts w:cs="Arial"/>
          <w:color w:val="000000"/>
          <w:lang w:val="el-GR"/>
        </w:rPr>
        <w:t>ή</w:t>
      </w:r>
      <w:r w:rsidRPr="00262BAD">
        <w:rPr>
          <w:rFonts w:cs="Arial"/>
          <w:color w:val="000000"/>
          <w:lang w:val="el-GR"/>
        </w:rPr>
        <w:t xml:space="preserve"> </w:t>
      </w:r>
      <w:r>
        <w:rPr>
          <w:rFonts w:cs="Arial"/>
          <w:color w:val="000000"/>
          <w:lang w:val="el-GR"/>
        </w:rPr>
        <w:t>όλες</w:t>
      </w:r>
      <w:r w:rsidRPr="00262BAD">
        <w:rPr>
          <w:rFonts w:cs="Arial"/>
          <w:color w:val="000000"/>
          <w:lang w:val="el-GR"/>
        </w:rPr>
        <w:t xml:space="preserve"> </w:t>
      </w:r>
      <w:r>
        <w:rPr>
          <w:rFonts w:cs="Arial"/>
          <w:color w:val="000000"/>
          <w:lang w:val="el-GR"/>
        </w:rPr>
        <w:t>από</w:t>
      </w:r>
      <w:r w:rsidRPr="00262BAD">
        <w:rPr>
          <w:rFonts w:cs="Arial"/>
          <w:color w:val="000000"/>
          <w:lang w:val="el-GR"/>
        </w:rPr>
        <w:t xml:space="preserve"> </w:t>
      </w:r>
      <w:r>
        <w:rPr>
          <w:rFonts w:cs="Arial"/>
          <w:color w:val="000000"/>
          <w:lang w:val="el-GR"/>
        </w:rPr>
        <w:t>τις</w:t>
      </w:r>
      <w:r w:rsidRPr="00262BAD">
        <w:rPr>
          <w:rFonts w:cs="Arial"/>
          <w:color w:val="000000"/>
          <w:lang w:val="el-GR"/>
        </w:rPr>
        <w:t xml:space="preserve"> </w:t>
      </w:r>
      <w:r>
        <w:rPr>
          <w:rFonts w:cs="Arial"/>
          <w:color w:val="000000"/>
          <w:lang w:val="el-GR"/>
        </w:rPr>
        <w:t>παραπάνω</w:t>
      </w:r>
      <w:r w:rsidRPr="00262BAD">
        <w:rPr>
          <w:rFonts w:cs="Arial"/>
          <w:color w:val="000000"/>
          <w:lang w:val="el-GR"/>
        </w:rPr>
        <w:t xml:space="preserve"> </w:t>
      </w:r>
      <w:r>
        <w:rPr>
          <w:rFonts w:cs="Arial"/>
          <w:color w:val="000000"/>
          <w:lang w:val="el-GR"/>
        </w:rPr>
        <w:t>γνωστοποιήσεις</w:t>
      </w:r>
      <w:r w:rsidRPr="00262BAD">
        <w:rPr>
          <w:rFonts w:cs="Arial"/>
          <w:color w:val="000000"/>
          <w:lang w:val="el-GR"/>
        </w:rPr>
        <w:t xml:space="preserve"> </w:t>
      </w:r>
      <w:r>
        <w:rPr>
          <w:rFonts w:cs="Arial"/>
          <w:color w:val="000000"/>
          <w:lang w:val="el-GR"/>
        </w:rPr>
        <w:t>χωρίς να είναι υποχρεωμένη να εφαρμόσει το ΔΠΧΑ 12 στο σύνολό του, ή το ΔΠΧΑ 10 ή 11 ή τα τροποποιημένα ΔΛΠ 27 ή 28.</w:t>
      </w:r>
    </w:p>
    <w:p w:rsidR="004B417C" w:rsidRPr="006440DD" w:rsidRDefault="004B417C" w:rsidP="000C451A">
      <w:pPr>
        <w:spacing w:after="240" w:line="240" w:lineRule="auto"/>
        <w:jc w:val="both"/>
        <w:rPr>
          <w:b/>
          <w:lang w:val="el-GR"/>
        </w:rPr>
      </w:pPr>
      <w:r w:rsidRPr="006440DD">
        <w:rPr>
          <w:b/>
          <w:lang w:val="el-GR"/>
        </w:rPr>
        <w:t xml:space="preserve">ΔΛΠ 27 (Τροποποίηση) «Ατομικές Οικονομικές Καταστάσεις» </w:t>
      </w:r>
    </w:p>
    <w:p w:rsidR="004B417C" w:rsidRDefault="004B417C" w:rsidP="000C451A">
      <w:pPr>
        <w:spacing w:after="240" w:line="240" w:lineRule="auto"/>
        <w:jc w:val="both"/>
        <w:rPr>
          <w:lang w:val="el-GR"/>
        </w:rPr>
      </w:pPr>
      <w:r>
        <w:rPr>
          <w:lang w:val="el-GR"/>
        </w:rPr>
        <w:t xml:space="preserve">Το Πρότυπο αυτό δημοσιεύθηκε ταυτόχρονα με το ΔΠΧΑ 10 και σε συνδυασμό, τα δύο πρότυπα αντικαθιστούν το ΔΛΠ 27 </w:t>
      </w:r>
      <w:r w:rsidRPr="006440DD">
        <w:rPr>
          <w:i/>
          <w:lang w:val="el-GR"/>
        </w:rPr>
        <w:t>«Ενοποιημένες και Α</w:t>
      </w:r>
      <w:r>
        <w:rPr>
          <w:i/>
          <w:lang w:val="el-GR"/>
        </w:rPr>
        <w:t>τομικέ</w:t>
      </w:r>
      <w:r w:rsidRPr="006440DD">
        <w:rPr>
          <w:i/>
          <w:lang w:val="el-GR"/>
        </w:rPr>
        <w:t>ς Οικονομικές Καταστάσεις»</w:t>
      </w:r>
      <w:r>
        <w:rPr>
          <w:lang w:val="el-GR"/>
        </w:rPr>
        <w:t xml:space="preserve">. Το τροποποιημένο ΔΛΠ 27 ορίζει το λογιστικό χειρισμό και τις απαραίτητες γνωστοποιήσεις αναφορικά με τις συμμετοχές σε θυγατρικές, κοινοπραξίες και συγγενείς όταν μία οικονομική οντότητα ετοιμάζει ατομικές οικονομικές καταστάσεις. Παράλληλα, το Συμβούλιο μετέφερε στο ΔΛΠ 27 όρους του ΔΛΠ 28 </w:t>
      </w:r>
      <w:r w:rsidRPr="006440DD">
        <w:rPr>
          <w:i/>
          <w:lang w:val="el-GR"/>
        </w:rPr>
        <w:t>«Επενδύσεις σε Συγγενείς επιχειρήσεις»</w:t>
      </w:r>
      <w:r>
        <w:rPr>
          <w:lang w:val="el-GR"/>
        </w:rPr>
        <w:t xml:space="preserve"> και του ΔΛΠ 31 </w:t>
      </w:r>
      <w:r w:rsidRPr="006440DD">
        <w:rPr>
          <w:i/>
          <w:lang w:val="el-GR"/>
        </w:rPr>
        <w:t>«Συμμετοχές σε Κοινοπραξίες»</w:t>
      </w:r>
      <w:r>
        <w:rPr>
          <w:lang w:val="el-GR"/>
        </w:rPr>
        <w:t xml:space="preserve"> που αφορούν τις ατομικές οικονομικές καταστάσεις. </w:t>
      </w:r>
    </w:p>
    <w:p w:rsidR="004B417C" w:rsidRPr="0055588E" w:rsidRDefault="004B417C" w:rsidP="000C451A">
      <w:pPr>
        <w:spacing w:after="240" w:line="240" w:lineRule="auto"/>
        <w:jc w:val="both"/>
        <w:rPr>
          <w:b/>
          <w:lang w:val="el-GR"/>
        </w:rPr>
      </w:pPr>
      <w:r w:rsidRPr="0055588E">
        <w:rPr>
          <w:b/>
          <w:lang w:val="el-GR"/>
        </w:rPr>
        <w:t xml:space="preserve">ΔΛΠ 28 (Τροποποίηση) «Επενδύσεις σε Συγγενείς </w:t>
      </w:r>
      <w:r>
        <w:rPr>
          <w:b/>
          <w:lang w:val="el-GR"/>
        </w:rPr>
        <w:t xml:space="preserve">επιχειρήσεις </w:t>
      </w:r>
      <w:r w:rsidRPr="0055588E">
        <w:rPr>
          <w:b/>
          <w:lang w:val="el-GR"/>
        </w:rPr>
        <w:t>και Κοινοπραξίες»</w:t>
      </w:r>
    </w:p>
    <w:p w:rsidR="004B417C" w:rsidRPr="008C2EB2" w:rsidRDefault="004B417C" w:rsidP="000C451A">
      <w:pPr>
        <w:spacing w:after="240" w:line="240" w:lineRule="auto"/>
        <w:jc w:val="both"/>
        <w:rPr>
          <w:lang w:val="el-GR"/>
        </w:rPr>
      </w:pPr>
      <w:r w:rsidRPr="0055588E">
        <w:rPr>
          <w:lang w:val="el-GR"/>
        </w:rPr>
        <w:t xml:space="preserve">Το ΔΛΠ 28 </w:t>
      </w:r>
      <w:r w:rsidRPr="0055588E">
        <w:rPr>
          <w:i/>
          <w:lang w:val="el-GR"/>
        </w:rPr>
        <w:t>«Επενδύσεις σε Συγγενείς επιχειρήσεις και Κοινοπραξίες»</w:t>
      </w:r>
      <w:r w:rsidRPr="0055588E">
        <w:rPr>
          <w:lang w:val="el-GR"/>
        </w:rPr>
        <w:t xml:space="preserve"> αντικαθιστά το ΔΛΠ 28 «</w:t>
      </w:r>
      <w:r w:rsidRPr="0055588E">
        <w:rPr>
          <w:i/>
          <w:lang w:val="el-GR"/>
        </w:rPr>
        <w:t>Επενδύσεις σε Συγγενείς επιχειρήσεις»</w:t>
      </w:r>
      <w:r>
        <w:rPr>
          <w:lang w:val="el-GR"/>
        </w:rPr>
        <w:t>. Ο σκοπός αυτού του Προτύπου είναι να ορίσει τον λογιστικό χειρισμό αναφορικά με τις επενδύσεις σε συγγενείς επιχειρήσεις και να παραθέσει τις απαιτήσεις για την εφαρμογή της μεθόδου της καθαρής θέσης κατά τη λογιστική των επενδύσεων σε συγγενείς και κοινοπραξίες, όπως προκύπτει από τη δημοσίευση του ΔΠΧΑ 11.</w:t>
      </w:r>
    </w:p>
    <w:p w:rsidR="004B417C" w:rsidRPr="00456975" w:rsidRDefault="004B417C" w:rsidP="000C451A">
      <w:pPr>
        <w:spacing w:after="240" w:line="240" w:lineRule="auto"/>
        <w:jc w:val="both"/>
        <w:rPr>
          <w:rFonts w:cs="Arial"/>
          <w:b/>
          <w:color w:val="000000"/>
          <w:lang w:val="el-GR"/>
        </w:rPr>
      </w:pPr>
      <w:r w:rsidRPr="00456975">
        <w:rPr>
          <w:rFonts w:cs="Arial"/>
          <w:b/>
          <w:color w:val="000000"/>
          <w:lang w:val="el-GR"/>
        </w:rPr>
        <w:t>ΔΠΧΑ 10, ΔΠΧΑ 11 και ΔΠΧΑ 12 (Τροποποίηση) «Ενοποιημένες οικονομικές καταστάσεις, από κοινού συμφωνίες και γνωστοποίηση συμμετοχής σε άλλες οικονομικές οντότητες: Οδηγίες μετάβασης»</w:t>
      </w:r>
      <w:r>
        <w:rPr>
          <w:rFonts w:cs="Arial"/>
          <w:b/>
          <w:color w:val="000000"/>
          <w:lang w:val="el-GR"/>
        </w:rPr>
        <w:t xml:space="preserve"> </w:t>
      </w:r>
      <w:r w:rsidRPr="009E6FFD">
        <w:rPr>
          <w:u w:val="single"/>
          <w:lang w:val="el-GR"/>
        </w:rPr>
        <w:t>(</w:t>
      </w:r>
      <w:r w:rsidRPr="009E6FFD">
        <w:rPr>
          <w:rFonts w:cs="Arial"/>
          <w:color w:val="000000"/>
          <w:u w:val="single"/>
          <w:lang w:val="el-GR" w:eastAsia="el-GR"/>
        </w:rPr>
        <w:t>εφαρμόζεται στις ετήσιες λογιστικές περιόδους που ξεκινούν την ή μετά την 1η Ιανουαρίου</w:t>
      </w:r>
      <w:r>
        <w:rPr>
          <w:bCs/>
          <w:spacing w:val="-2"/>
          <w:u w:val="single"/>
          <w:lang w:val="el-GR"/>
        </w:rPr>
        <w:t xml:space="preserve"> 201</w:t>
      </w:r>
      <w:r w:rsidRPr="007D6452">
        <w:rPr>
          <w:bCs/>
          <w:spacing w:val="-2"/>
          <w:u w:val="single"/>
          <w:lang w:val="el-GR"/>
        </w:rPr>
        <w:t>3</w:t>
      </w:r>
      <w:r w:rsidRPr="009E6FFD">
        <w:rPr>
          <w:bCs/>
          <w:spacing w:val="-2"/>
          <w:u w:val="single"/>
          <w:lang w:val="el-GR"/>
        </w:rPr>
        <w:t>)</w:t>
      </w:r>
    </w:p>
    <w:p w:rsidR="004B417C" w:rsidRPr="00CF1A3E" w:rsidRDefault="004B417C" w:rsidP="000C451A">
      <w:pPr>
        <w:spacing w:after="240" w:line="240" w:lineRule="auto"/>
        <w:jc w:val="both"/>
        <w:rPr>
          <w:lang w:val="el-GR"/>
        </w:rPr>
      </w:pPr>
      <w:r>
        <w:t>H</w:t>
      </w:r>
      <w:r w:rsidRPr="00D03D2E">
        <w:rPr>
          <w:lang w:val="el-GR"/>
        </w:rPr>
        <w:t xml:space="preserve"> </w:t>
      </w:r>
      <w:r w:rsidRPr="00456975">
        <w:rPr>
          <w:lang w:val="el-GR"/>
        </w:rPr>
        <w:t>τροποπο</w:t>
      </w:r>
      <w:r>
        <w:rPr>
          <w:lang w:val="el-GR"/>
        </w:rPr>
        <w:t>ίη</w:t>
      </w:r>
      <w:r w:rsidRPr="00456975">
        <w:rPr>
          <w:lang w:val="el-GR"/>
        </w:rPr>
        <w:t>σ</w:t>
      </w:r>
      <w:r>
        <w:rPr>
          <w:lang w:val="el-GR"/>
        </w:rPr>
        <w:t xml:space="preserve">η στις οδηγίες μετάβασης </w:t>
      </w:r>
      <w:r w:rsidRPr="00456975">
        <w:rPr>
          <w:lang w:val="el-GR"/>
        </w:rPr>
        <w:t>των ΔΠΧΑ 10, 11 και 12</w:t>
      </w:r>
      <w:r w:rsidRPr="00D03D2E">
        <w:rPr>
          <w:lang w:val="el-GR"/>
        </w:rPr>
        <w:t xml:space="preserve"> </w:t>
      </w:r>
      <w:r>
        <w:rPr>
          <w:lang w:val="el-GR"/>
        </w:rPr>
        <w:t>παρέχει διευκρινίσεις σχετικά με τις οδηγίες μετάβασης στο ΔΠΧΑ 10 και περιορίζει τις απαιτήσεις για παροχή συγκριτικής πληροφόρησης στις γνωστοποιήσεις του ΔΠΧΑ 12 μόνο για την περίοδο που προηγείται άμεσα της πρώτης ετήσιας περιόδου κατά την οποία εφαρμόζεται το ΔΠΧΑ 12. Συγκριτική πληροφόρηση για γνωστοποιήσεις σχετικά με συμμετοχές σε μη ενοποιούμενες οικονομικές οντότητες (</w:t>
      </w:r>
      <w:r>
        <w:t>structured</w:t>
      </w:r>
      <w:r w:rsidRPr="001D2F38">
        <w:rPr>
          <w:lang w:val="el-GR"/>
        </w:rPr>
        <w:t xml:space="preserve"> </w:t>
      </w:r>
      <w:r>
        <w:t>entities</w:t>
      </w:r>
      <w:r w:rsidRPr="001D2F38">
        <w:rPr>
          <w:lang w:val="el-GR"/>
        </w:rPr>
        <w:t xml:space="preserve">) </w:t>
      </w:r>
      <w:r>
        <w:rPr>
          <w:lang w:val="el-GR"/>
        </w:rPr>
        <w:t>δεν απαιτείται. Οι τροποποιήσεις δεν έχουν υιοθετηθεί ακόμη από την Ευρωπαϊκή Ένωση.</w:t>
      </w:r>
    </w:p>
    <w:p w:rsidR="004B417C" w:rsidRPr="009E6FFD" w:rsidRDefault="004B417C" w:rsidP="000C451A">
      <w:pPr>
        <w:spacing w:after="240" w:line="240" w:lineRule="auto"/>
        <w:jc w:val="both"/>
        <w:rPr>
          <w:rFonts w:cs="Arial"/>
          <w:b/>
          <w:color w:val="000000"/>
          <w:lang w:val="el-GR"/>
        </w:rPr>
      </w:pPr>
      <w:r w:rsidRPr="009E6FFD">
        <w:rPr>
          <w:rFonts w:cs="Arial"/>
          <w:b/>
          <w:color w:val="000000"/>
          <w:lang w:val="el-GR"/>
        </w:rPr>
        <w:t>ΔΠΧΑ 10, ΔΠΧΑ 12 και ΔΛΠ 27 (Τροποποίηση) «Εταιρείες Επενδύσεων»</w:t>
      </w:r>
      <w:r w:rsidRPr="009E6FFD">
        <w:rPr>
          <w:lang w:val="el-GR"/>
        </w:rPr>
        <w:t xml:space="preserve"> </w:t>
      </w:r>
      <w:r w:rsidRPr="009E6FFD">
        <w:rPr>
          <w:u w:val="single"/>
          <w:lang w:val="el-GR"/>
        </w:rPr>
        <w:t>(</w:t>
      </w:r>
      <w:r w:rsidRPr="009E6FFD">
        <w:rPr>
          <w:rFonts w:cs="Arial"/>
          <w:color w:val="000000"/>
          <w:u w:val="single"/>
          <w:lang w:val="el-GR" w:eastAsia="el-GR"/>
        </w:rPr>
        <w:t>εφαρμόζεται στις ετήσιες λογιστικές περιόδους που ξεκινούν την ή μετά την 1η Ιανουαρίου</w:t>
      </w:r>
      <w:r w:rsidRPr="009E6FFD">
        <w:rPr>
          <w:bCs/>
          <w:spacing w:val="-2"/>
          <w:u w:val="single"/>
          <w:lang w:val="el-GR"/>
        </w:rPr>
        <w:t xml:space="preserve"> 2014)</w:t>
      </w:r>
    </w:p>
    <w:p w:rsidR="004B417C" w:rsidRPr="00EA36B5" w:rsidRDefault="004B417C" w:rsidP="000C451A">
      <w:pPr>
        <w:spacing w:after="240" w:line="240" w:lineRule="auto"/>
        <w:jc w:val="both"/>
        <w:rPr>
          <w:lang w:val="el-GR"/>
        </w:rPr>
      </w:pPr>
      <w:r>
        <w:rPr>
          <w:lang w:val="el-GR"/>
        </w:rPr>
        <w:t>Η</w:t>
      </w:r>
      <w:r w:rsidRPr="00D91945">
        <w:rPr>
          <w:lang w:val="el-GR"/>
        </w:rPr>
        <w:t xml:space="preserve"> </w:t>
      </w:r>
      <w:r>
        <w:rPr>
          <w:lang w:val="el-GR"/>
        </w:rPr>
        <w:t>τροποποίηση</w:t>
      </w:r>
      <w:r w:rsidRPr="00D91945">
        <w:rPr>
          <w:lang w:val="el-GR"/>
        </w:rPr>
        <w:t xml:space="preserve"> </w:t>
      </w:r>
      <w:r>
        <w:rPr>
          <w:lang w:val="el-GR"/>
        </w:rPr>
        <w:t>του</w:t>
      </w:r>
      <w:r w:rsidRPr="00D91945">
        <w:rPr>
          <w:lang w:val="el-GR"/>
        </w:rPr>
        <w:t xml:space="preserve"> </w:t>
      </w:r>
      <w:r>
        <w:rPr>
          <w:lang w:val="el-GR"/>
        </w:rPr>
        <w:t>ΔΠΧΑ</w:t>
      </w:r>
      <w:r w:rsidRPr="00D91945">
        <w:rPr>
          <w:lang w:val="el-GR"/>
        </w:rPr>
        <w:t xml:space="preserve"> 10 </w:t>
      </w:r>
      <w:r>
        <w:rPr>
          <w:lang w:val="el-GR"/>
        </w:rPr>
        <w:t>ορίζει</w:t>
      </w:r>
      <w:r w:rsidRPr="00D91945">
        <w:rPr>
          <w:lang w:val="el-GR"/>
        </w:rPr>
        <w:t xml:space="preserve"> </w:t>
      </w:r>
      <w:r>
        <w:rPr>
          <w:lang w:val="el-GR"/>
        </w:rPr>
        <w:t>μία</w:t>
      </w:r>
      <w:r w:rsidRPr="00D91945">
        <w:rPr>
          <w:lang w:val="el-GR"/>
        </w:rPr>
        <w:t xml:space="preserve"> </w:t>
      </w:r>
      <w:r>
        <w:rPr>
          <w:lang w:val="el-GR"/>
        </w:rPr>
        <w:t>εταιρεία</w:t>
      </w:r>
      <w:r w:rsidRPr="00D91945">
        <w:rPr>
          <w:lang w:val="el-GR"/>
        </w:rPr>
        <w:t xml:space="preserve"> </w:t>
      </w:r>
      <w:r>
        <w:rPr>
          <w:lang w:val="el-GR"/>
        </w:rPr>
        <w:t>επενδύσεων</w:t>
      </w:r>
      <w:r w:rsidRPr="00D91945">
        <w:rPr>
          <w:lang w:val="el-GR"/>
        </w:rPr>
        <w:t xml:space="preserve"> </w:t>
      </w:r>
      <w:r>
        <w:rPr>
          <w:lang w:val="el-GR"/>
        </w:rPr>
        <w:t>και</w:t>
      </w:r>
      <w:r w:rsidRPr="00D91945">
        <w:rPr>
          <w:lang w:val="el-GR"/>
        </w:rPr>
        <w:t xml:space="preserve"> </w:t>
      </w:r>
      <w:r>
        <w:rPr>
          <w:lang w:val="el-GR"/>
        </w:rPr>
        <w:t>παρέχει</w:t>
      </w:r>
      <w:r w:rsidRPr="00D91945">
        <w:rPr>
          <w:lang w:val="el-GR"/>
        </w:rPr>
        <w:t xml:space="preserve"> </w:t>
      </w:r>
      <w:r>
        <w:rPr>
          <w:lang w:val="el-GR"/>
        </w:rPr>
        <w:t>μία</w:t>
      </w:r>
      <w:r w:rsidRPr="00D91945">
        <w:rPr>
          <w:lang w:val="el-GR"/>
        </w:rPr>
        <w:t xml:space="preserve"> </w:t>
      </w:r>
      <w:r>
        <w:rPr>
          <w:lang w:val="el-GR"/>
        </w:rPr>
        <w:t>εξαίρεση από την ενοποίηση. Πολλά</w:t>
      </w:r>
      <w:r w:rsidRPr="00D91945">
        <w:rPr>
          <w:lang w:val="el-GR"/>
        </w:rPr>
        <w:t xml:space="preserve"> </w:t>
      </w:r>
      <w:r>
        <w:rPr>
          <w:lang w:val="el-GR"/>
        </w:rPr>
        <w:t>επενδυτικά κεφάλαια και παρόμοιες εταιρείες που πληρούν τον ορισμό των εταιρειών επενδύσεων εξαιρούνται από την ενοποίηση των περισσότερων θυγατρικών τους</w:t>
      </w:r>
      <w:r w:rsidRPr="00EA36B5">
        <w:rPr>
          <w:lang w:val="el-GR"/>
        </w:rPr>
        <w:t xml:space="preserve">, </w:t>
      </w:r>
      <w:r>
        <w:rPr>
          <w:lang w:val="el-GR"/>
        </w:rPr>
        <w:t>οι οποίες λογιστικοποιούνται ως επενδύσεις σε εύλογη αξία μέσω αποτελεσμάτων, παρόλο που ασκείται έλεγχος. Οι τροποποιήσεις στο ΔΠΧΑ 12 εισάγουν τις γνωστοποιήσεις που χρειάζεται να παρέχει μια εταιρεία επενδύσεων. Οι τροποποιήσεις δεν έχουν υιοθετηθεί ακόμη από την Ευρωπαϊκή Ένωση.</w:t>
      </w:r>
    </w:p>
    <w:p w:rsidR="004B417C" w:rsidRPr="001D04AB" w:rsidRDefault="004B417C" w:rsidP="000C451A">
      <w:pPr>
        <w:spacing w:after="120"/>
        <w:jc w:val="both"/>
        <w:rPr>
          <w:u w:val="single"/>
          <w:lang w:val="el-GR"/>
        </w:rPr>
      </w:pPr>
      <w:r w:rsidRPr="000E1855">
        <w:rPr>
          <w:u w:val="single"/>
          <w:lang w:val="el-GR"/>
        </w:rPr>
        <w:t>Τροποποιήσεις σε πρότυπα που αποτελούν ένα τμήμα του προγράμματος ετήσιων βελτιώσεων για το 201</w:t>
      </w:r>
      <w:r w:rsidRPr="001D04AB">
        <w:rPr>
          <w:u w:val="single"/>
          <w:lang w:val="el-GR"/>
        </w:rPr>
        <w:t>1</w:t>
      </w:r>
      <w:r w:rsidRPr="000E1855">
        <w:rPr>
          <w:u w:val="single"/>
          <w:lang w:val="el-GR"/>
        </w:rPr>
        <w:t xml:space="preserve"> του ΣΔΛΠ (Συμβούλιο Διεθνών Λογιστικών Προτύπων)</w:t>
      </w:r>
      <w:r w:rsidRPr="001D04AB">
        <w:rPr>
          <w:u w:val="single"/>
          <w:lang w:val="el-GR"/>
        </w:rPr>
        <w:t xml:space="preserve"> </w:t>
      </w:r>
    </w:p>
    <w:p w:rsidR="004B417C" w:rsidRPr="001D04AB" w:rsidRDefault="004B417C" w:rsidP="000C451A">
      <w:pPr>
        <w:spacing w:after="240" w:line="240" w:lineRule="auto"/>
        <w:jc w:val="both"/>
        <w:rPr>
          <w:bCs/>
          <w:lang w:val="el-GR"/>
        </w:rPr>
      </w:pPr>
      <w:r w:rsidRPr="000E1855">
        <w:rPr>
          <w:lang w:val="el-GR"/>
        </w:rPr>
        <w:t>Οι παρακάτω τροποποιήσεις περιγράφουν τις σημαντικότερες αλλαγές που υπεισέρχονται στα ΔΠΧΑ ως επακόλουθο των αποτελεσμάτων του ετήσιου προγράμματος βελτιώσεων του ΣΔΛΠ που δημοσιεύτηκε τον Μάιο 201</w:t>
      </w:r>
      <w:r w:rsidRPr="001D04AB">
        <w:rPr>
          <w:lang w:val="el-GR"/>
        </w:rPr>
        <w:t>2</w:t>
      </w:r>
      <w:r w:rsidRPr="000E1855">
        <w:rPr>
          <w:lang w:val="el-GR"/>
        </w:rPr>
        <w:t>.</w:t>
      </w:r>
      <w:r w:rsidRPr="001D04AB">
        <w:rPr>
          <w:lang w:val="el-GR"/>
        </w:rPr>
        <w:t xml:space="preserve"> </w:t>
      </w:r>
      <w:r>
        <w:rPr>
          <w:lang w:val="el-GR"/>
        </w:rPr>
        <w:t xml:space="preserve">Οι </w:t>
      </w:r>
      <w:r>
        <w:rPr>
          <w:lang w:val="el-GR"/>
        </w:rPr>
        <w:lastRenderedPageBreak/>
        <w:t xml:space="preserve">τροποποιήσεις αυτές εφαρμόζονται </w:t>
      </w:r>
      <w:r w:rsidRPr="001D04AB">
        <w:rPr>
          <w:rFonts w:cs="Arial"/>
          <w:color w:val="000000"/>
          <w:lang w:val="el-GR"/>
        </w:rPr>
        <w:t>στις ετήσιες λογιστικές περιόδους που ξεκινούν την ή μετά την 1η Ιανουαρίου 2013</w:t>
      </w:r>
      <w:r>
        <w:rPr>
          <w:bCs/>
          <w:spacing w:val="-2"/>
          <w:lang w:val="el-GR"/>
        </w:rPr>
        <w:t xml:space="preserve"> και δεν έχουν υιοθετηθεί ακόμη από την Ευρωπαϊκή Ένωση.</w:t>
      </w:r>
    </w:p>
    <w:p w:rsidR="004B417C" w:rsidRDefault="004B417C" w:rsidP="000C451A">
      <w:pPr>
        <w:spacing w:after="240" w:line="240" w:lineRule="auto"/>
        <w:jc w:val="both"/>
        <w:rPr>
          <w:b/>
          <w:lang w:val="el-GR"/>
        </w:rPr>
      </w:pPr>
      <w:r>
        <w:rPr>
          <w:b/>
          <w:lang w:val="el-GR"/>
        </w:rPr>
        <w:t>ΔΛΠ 1 «Παρουσίαση των οικονομικών καταστάσεων»</w:t>
      </w:r>
    </w:p>
    <w:p w:rsidR="004B417C" w:rsidRPr="001D04AB" w:rsidRDefault="004B417C" w:rsidP="000C451A">
      <w:pPr>
        <w:spacing w:after="240" w:line="240" w:lineRule="auto"/>
        <w:jc w:val="both"/>
        <w:rPr>
          <w:lang w:val="el-GR"/>
        </w:rPr>
      </w:pPr>
      <w:r>
        <w:rPr>
          <w:lang w:val="el-GR"/>
        </w:rPr>
        <w:t>Η τροποποίηση παρέχει διευκρινίσεις σχετικά με τις απαραίτητες γνωστοποιήσεις για</w:t>
      </w:r>
      <w:r w:rsidRPr="001D04AB">
        <w:rPr>
          <w:lang w:val="el-GR"/>
        </w:rPr>
        <w:t xml:space="preserve"> </w:t>
      </w:r>
      <w:r>
        <w:rPr>
          <w:lang w:val="el-GR"/>
        </w:rPr>
        <w:t>τη συγκριτική πληροφόρηση όταν μια οικονομική οντότητα συντάσσει έναν επιπλέον ισολογισμό είτε (α) όπως απαιτείται από το ΔΛΠ 8 «</w:t>
      </w:r>
      <w:r w:rsidRPr="00693E15">
        <w:rPr>
          <w:lang w:val="el-GR"/>
        </w:rPr>
        <w:t>Λογιστικές πολιτικές, μεταβολές των λογιστικών εκτιμήσεων και λάθη</w:t>
      </w:r>
      <w:r>
        <w:rPr>
          <w:lang w:val="el-GR"/>
        </w:rPr>
        <w:t>» είτε (β) εθελοντικά.</w:t>
      </w:r>
    </w:p>
    <w:p w:rsidR="004B417C" w:rsidRDefault="004B417C" w:rsidP="000C451A">
      <w:pPr>
        <w:spacing w:after="240" w:line="240" w:lineRule="auto"/>
        <w:jc w:val="both"/>
        <w:rPr>
          <w:b/>
          <w:lang w:val="el-GR"/>
        </w:rPr>
      </w:pPr>
      <w:r>
        <w:rPr>
          <w:b/>
          <w:lang w:val="el-GR"/>
        </w:rPr>
        <w:t>ΔΛΠ 16 «Ενσώματα πάγια»</w:t>
      </w:r>
    </w:p>
    <w:p w:rsidR="004B417C" w:rsidRPr="001D04AB" w:rsidRDefault="004B417C" w:rsidP="000C451A">
      <w:pPr>
        <w:spacing w:after="240" w:line="240" w:lineRule="auto"/>
        <w:jc w:val="both"/>
        <w:rPr>
          <w:lang w:val="el-GR"/>
        </w:rPr>
      </w:pPr>
      <w:r>
        <w:rPr>
          <w:lang w:val="el-GR"/>
        </w:rPr>
        <w:t>Η τροποποίηση διευκρινίζει πως τα ανταλλακτικά και ο λοιπός εξοπλισμός συντήρησης ταξινομούνται ως ενσώματα πάγια και όχι ως αποθέματα όταν πληρούν τον ορισμό των ενσώματων παγίων, δηλαδή όταν χρησιμοποιούνται για περισσότερες από μία περίοδο.</w:t>
      </w:r>
    </w:p>
    <w:p w:rsidR="004B417C" w:rsidRDefault="004B417C" w:rsidP="000C451A">
      <w:pPr>
        <w:spacing w:after="240" w:line="240" w:lineRule="auto"/>
        <w:jc w:val="both"/>
        <w:rPr>
          <w:b/>
          <w:lang w:val="el-GR"/>
        </w:rPr>
      </w:pPr>
      <w:r>
        <w:rPr>
          <w:b/>
          <w:lang w:val="el-GR"/>
        </w:rPr>
        <w:t>ΔΛΠ 32 «Χρηματοοικονομικά μέσα: Παρουσίαση»</w:t>
      </w:r>
    </w:p>
    <w:p w:rsidR="004B417C" w:rsidRPr="001D04AB" w:rsidRDefault="004B417C" w:rsidP="000C451A">
      <w:pPr>
        <w:spacing w:after="240" w:line="240" w:lineRule="auto"/>
        <w:jc w:val="both"/>
        <w:rPr>
          <w:lang w:val="el-GR"/>
        </w:rPr>
      </w:pPr>
      <w:r>
        <w:rPr>
          <w:lang w:val="el-GR"/>
        </w:rPr>
        <w:t>Η τροποποίηση διευκρινίζει πως ο φόρος εισοδήματος που σχετίζεται με τη διανομή αναγνωρίζεται στα αποτελέσματα και ο φόρος εισοδήματος που σχετίζεται με τα έξοδα συναλλαγών απευθείας στην καθαρή θέση αναγνωρίζεται στην καθαρή θέση, σύμφωνα με το ΔΛΠ 12.</w:t>
      </w:r>
    </w:p>
    <w:p w:rsidR="004B417C" w:rsidRDefault="004B417C" w:rsidP="00AC2D11">
      <w:pPr>
        <w:pStyle w:val="Heading1"/>
        <w:keepLines/>
        <w:numPr>
          <w:ilvl w:val="0"/>
          <w:numId w:val="32"/>
        </w:numPr>
        <w:shd w:val="clear" w:color="auto" w:fill="auto"/>
        <w:spacing w:before="130" w:line="280" w:lineRule="atLeast"/>
        <w:ind w:left="357" w:hanging="357"/>
        <w:jc w:val="both"/>
        <w:rPr>
          <w:szCs w:val="22"/>
          <w:lang w:val="el-GR"/>
        </w:rPr>
      </w:pPr>
      <w:bookmarkStart w:id="16" w:name="_Toc128477843"/>
      <w:bookmarkEnd w:id="10"/>
      <w:bookmarkEnd w:id="11"/>
      <w:r>
        <w:rPr>
          <w:szCs w:val="22"/>
          <w:lang w:val="el-GR"/>
        </w:rPr>
        <w:t>Χρηματοοικονομικά αποτελέσματα</w:t>
      </w:r>
    </w:p>
    <w:p w:rsidR="004B417C" w:rsidRDefault="004B417C" w:rsidP="00AD3B74">
      <w:pPr>
        <w:jc w:val="both"/>
        <w:rPr>
          <w:lang w:val="el-GR"/>
        </w:rPr>
      </w:pPr>
    </w:p>
    <w:p w:rsidR="004B417C" w:rsidRDefault="004B417C" w:rsidP="00F37BC8">
      <w:pPr>
        <w:jc w:val="both"/>
        <w:rPr>
          <w:lang w:val="el-GR"/>
        </w:rPr>
      </w:pPr>
      <w:r>
        <w:rPr>
          <w:lang w:val="el-GR"/>
        </w:rPr>
        <w:t xml:space="preserve">Τα χρηματοοικονομικά αποτελέσματα αφορούν συναλλαγματικές διαφορές από την αποτίμηση απαιτήσεων από χρηματοοικονομικές μισθώσεις και ομολογιακού δανείου σε </w:t>
      </w:r>
      <w:r>
        <w:t>CHF</w:t>
      </w:r>
      <w:r w:rsidRPr="00544D7D">
        <w:rPr>
          <w:lang w:val="el-GR"/>
        </w:rPr>
        <w:t xml:space="preserve"> </w:t>
      </w:r>
      <w:r>
        <w:rPr>
          <w:lang w:val="el-GR"/>
        </w:rPr>
        <w:t xml:space="preserve">με βάση τις τρέχουσες τιμές. Στην κλειόμενη χρήση το ύψος των συναλλαγματικών διαφορών </w:t>
      </w:r>
      <w:r w:rsidRPr="00772F51">
        <w:rPr>
          <w:lang w:val="el-GR"/>
        </w:rPr>
        <w:t>ανήλθε στα 601 χιλ. ευρώ (31.12.2011: 156 χιλ ευρώ) .</w:t>
      </w:r>
    </w:p>
    <w:p w:rsidR="004B417C" w:rsidRPr="00F37BC8" w:rsidRDefault="004B417C" w:rsidP="00F37BC8">
      <w:pPr>
        <w:jc w:val="both"/>
        <w:rPr>
          <w:lang w:val="el-GR"/>
        </w:rPr>
      </w:pPr>
    </w:p>
    <w:p w:rsidR="004B417C" w:rsidRDefault="004B417C" w:rsidP="00AC2D11">
      <w:pPr>
        <w:pStyle w:val="Heading1"/>
        <w:keepLines/>
        <w:numPr>
          <w:ilvl w:val="0"/>
          <w:numId w:val="32"/>
        </w:numPr>
        <w:shd w:val="clear" w:color="auto" w:fill="auto"/>
        <w:spacing w:before="130" w:line="280" w:lineRule="atLeast"/>
        <w:ind w:left="426"/>
        <w:rPr>
          <w:szCs w:val="22"/>
          <w:lang w:val="el-GR"/>
        </w:rPr>
      </w:pPr>
      <w:r>
        <w:rPr>
          <w:szCs w:val="22"/>
          <w:lang w:val="el-GR"/>
        </w:rPr>
        <w:t>Λοιπά έσοδα</w:t>
      </w:r>
      <w:bookmarkEnd w:id="16"/>
    </w:p>
    <w:tbl>
      <w:tblPr>
        <w:tblW w:w="7909" w:type="dxa"/>
        <w:tblInd w:w="108" w:type="dxa"/>
        <w:tblLayout w:type="fixed"/>
        <w:tblLook w:val="0000"/>
      </w:tblPr>
      <w:tblGrid>
        <w:gridCol w:w="5529"/>
        <w:gridCol w:w="1134"/>
        <w:gridCol w:w="283"/>
        <w:gridCol w:w="963"/>
      </w:tblGrid>
      <w:tr w:rsidR="004B417C">
        <w:trPr>
          <w:trHeight w:hRule="exact" w:val="397"/>
        </w:trPr>
        <w:tc>
          <w:tcPr>
            <w:tcW w:w="5529" w:type="dxa"/>
            <w:vAlign w:val="center"/>
          </w:tcPr>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lang w:val="el-GR"/>
              </w:rPr>
            </w:pPr>
          </w:p>
        </w:tc>
        <w:tc>
          <w:tcPr>
            <w:tcW w:w="1134" w:type="dxa"/>
            <w:tcBorders>
              <w:bottom w:val="single" w:sz="4" w:space="0" w:color="auto"/>
            </w:tcBorders>
            <w:vAlign w:val="center"/>
          </w:tcPr>
          <w:p w:rsidR="004B417C" w:rsidRPr="00BF60B0" w:rsidRDefault="004B417C">
            <w:pPr>
              <w:spacing w:line="240" w:lineRule="auto"/>
              <w:jc w:val="right"/>
              <w:rPr>
                <w:b/>
              </w:rPr>
            </w:pPr>
            <w:r>
              <w:rPr>
                <w:b/>
                <w:lang w:val="el-GR"/>
              </w:rPr>
              <w:t>201</w:t>
            </w:r>
            <w:r>
              <w:rPr>
                <w:b/>
              </w:rPr>
              <w:t>2</w:t>
            </w:r>
          </w:p>
        </w:tc>
        <w:tc>
          <w:tcPr>
            <w:tcW w:w="283" w:type="dxa"/>
            <w:vAlign w:val="center"/>
          </w:tcPr>
          <w:p w:rsidR="004B417C" w:rsidRDefault="004B417C">
            <w:pPr>
              <w:spacing w:line="240" w:lineRule="auto"/>
              <w:jc w:val="right"/>
              <w:rPr>
                <w:b/>
                <w:lang w:val="el-GR"/>
              </w:rPr>
            </w:pPr>
          </w:p>
        </w:tc>
        <w:tc>
          <w:tcPr>
            <w:tcW w:w="963" w:type="dxa"/>
            <w:tcBorders>
              <w:bottom w:val="single" w:sz="4" w:space="0" w:color="auto"/>
            </w:tcBorders>
            <w:vAlign w:val="center"/>
          </w:tcPr>
          <w:p w:rsidR="004B417C" w:rsidRPr="00BF60B0" w:rsidRDefault="004B417C">
            <w:pPr>
              <w:spacing w:line="240" w:lineRule="auto"/>
              <w:jc w:val="right"/>
              <w:rPr>
                <w:b/>
              </w:rPr>
            </w:pPr>
            <w:r>
              <w:rPr>
                <w:b/>
                <w:lang w:val="el-GR"/>
              </w:rPr>
              <w:t>201</w:t>
            </w:r>
            <w:r>
              <w:rPr>
                <w:b/>
              </w:rPr>
              <w:t>1</w:t>
            </w:r>
          </w:p>
        </w:tc>
      </w:tr>
      <w:tr w:rsidR="004B417C">
        <w:trPr>
          <w:trHeight w:hRule="exact" w:val="335"/>
        </w:trPr>
        <w:tc>
          <w:tcPr>
            <w:tcW w:w="5529" w:type="dxa"/>
            <w:vAlign w:val="bottom"/>
          </w:tcPr>
          <w:p w:rsidR="004B417C" w:rsidRDefault="004B417C">
            <w:pPr>
              <w:tabs>
                <w:tab w:val="clear" w:pos="454"/>
              </w:tabs>
              <w:jc w:val="both"/>
              <w:rPr>
                <w:szCs w:val="22"/>
                <w:lang w:val="el-GR"/>
              </w:rPr>
            </w:pPr>
            <w:r>
              <w:rPr>
                <w:szCs w:val="22"/>
                <w:lang w:val="el-GR"/>
              </w:rPr>
              <w:t>Λοιπά έσοδα από συμβάσεις χρηματοδοτικής μίσθωσης</w:t>
            </w:r>
          </w:p>
        </w:tc>
        <w:tc>
          <w:tcPr>
            <w:tcW w:w="1134" w:type="dxa"/>
            <w:vAlign w:val="bottom"/>
          </w:tcPr>
          <w:p w:rsidR="004B417C" w:rsidRPr="00065DA9" w:rsidRDefault="004B417C">
            <w:pPr>
              <w:jc w:val="right"/>
              <w:rPr>
                <w:szCs w:val="22"/>
              </w:rPr>
            </w:pPr>
            <w:r>
              <w:rPr>
                <w:szCs w:val="22"/>
              </w:rPr>
              <w:t>438</w:t>
            </w:r>
          </w:p>
        </w:tc>
        <w:tc>
          <w:tcPr>
            <w:tcW w:w="283" w:type="dxa"/>
            <w:vAlign w:val="center"/>
          </w:tcPr>
          <w:p w:rsidR="004B417C" w:rsidRDefault="004B417C">
            <w:pPr>
              <w:spacing w:line="240" w:lineRule="auto"/>
              <w:jc w:val="right"/>
              <w:rPr>
                <w:lang w:val="el-GR"/>
              </w:rPr>
            </w:pPr>
          </w:p>
        </w:tc>
        <w:tc>
          <w:tcPr>
            <w:tcW w:w="963" w:type="dxa"/>
            <w:vAlign w:val="bottom"/>
          </w:tcPr>
          <w:p w:rsidR="004B417C" w:rsidRPr="00BF60B0" w:rsidRDefault="004B417C">
            <w:pPr>
              <w:jc w:val="right"/>
              <w:rPr>
                <w:szCs w:val="22"/>
              </w:rPr>
            </w:pPr>
            <w:r>
              <w:rPr>
                <w:szCs w:val="22"/>
              </w:rPr>
              <w:t>175</w:t>
            </w:r>
          </w:p>
        </w:tc>
      </w:tr>
      <w:tr w:rsidR="004B417C">
        <w:trPr>
          <w:trHeight w:hRule="exact" w:val="340"/>
        </w:trPr>
        <w:tc>
          <w:tcPr>
            <w:tcW w:w="5529" w:type="dxa"/>
            <w:vAlign w:val="bottom"/>
          </w:tcPr>
          <w:p w:rsidR="004B417C" w:rsidRDefault="004B417C">
            <w:pPr>
              <w:jc w:val="both"/>
              <w:rPr>
                <w:szCs w:val="22"/>
              </w:rPr>
            </w:pPr>
            <w:r>
              <w:rPr>
                <w:szCs w:val="22"/>
                <w:lang w:val="el-GR"/>
              </w:rPr>
              <w:t>Επιδοτήσεις</w:t>
            </w:r>
          </w:p>
        </w:tc>
        <w:tc>
          <w:tcPr>
            <w:tcW w:w="1134" w:type="dxa"/>
            <w:vAlign w:val="bottom"/>
          </w:tcPr>
          <w:p w:rsidR="004B417C" w:rsidRPr="00494532" w:rsidRDefault="004B417C">
            <w:pPr>
              <w:jc w:val="right"/>
              <w:rPr>
                <w:szCs w:val="22"/>
              </w:rPr>
            </w:pPr>
            <w:r>
              <w:rPr>
                <w:szCs w:val="22"/>
              </w:rPr>
              <w:t>7</w:t>
            </w:r>
          </w:p>
        </w:tc>
        <w:tc>
          <w:tcPr>
            <w:tcW w:w="283" w:type="dxa"/>
            <w:vAlign w:val="center"/>
          </w:tcPr>
          <w:p w:rsidR="004B417C" w:rsidRDefault="004B417C">
            <w:pPr>
              <w:spacing w:line="240" w:lineRule="auto"/>
              <w:jc w:val="right"/>
              <w:rPr>
                <w:lang w:val="el-GR"/>
              </w:rPr>
            </w:pPr>
          </w:p>
        </w:tc>
        <w:tc>
          <w:tcPr>
            <w:tcW w:w="963" w:type="dxa"/>
            <w:vAlign w:val="bottom"/>
          </w:tcPr>
          <w:p w:rsidR="004B417C" w:rsidRPr="00BF60B0" w:rsidRDefault="004B417C">
            <w:pPr>
              <w:jc w:val="right"/>
              <w:rPr>
                <w:szCs w:val="22"/>
              </w:rPr>
            </w:pPr>
            <w:r>
              <w:rPr>
                <w:szCs w:val="22"/>
              </w:rPr>
              <w:t>8</w:t>
            </w:r>
          </w:p>
        </w:tc>
      </w:tr>
      <w:tr w:rsidR="004B417C">
        <w:trPr>
          <w:trHeight w:hRule="exact" w:val="340"/>
        </w:trPr>
        <w:tc>
          <w:tcPr>
            <w:tcW w:w="5529" w:type="dxa"/>
            <w:vAlign w:val="bottom"/>
          </w:tcPr>
          <w:p w:rsidR="004B417C" w:rsidRDefault="004B417C">
            <w:pPr>
              <w:jc w:val="both"/>
              <w:rPr>
                <w:szCs w:val="22"/>
              </w:rPr>
            </w:pPr>
            <w:r>
              <w:rPr>
                <w:szCs w:val="22"/>
                <w:lang w:val="el-GR"/>
              </w:rPr>
              <w:t>Ενοίκια επενδυτικών ακινήτων</w:t>
            </w:r>
          </w:p>
        </w:tc>
        <w:tc>
          <w:tcPr>
            <w:tcW w:w="1134" w:type="dxa"/>
            <w:tcBorders>
              <w:bottom w:val="single" w:sz="4" w:space="0" w:color="auto"/>
            </w:tcBorders>
            <w:vAlign w:val="bottom"/>
          </w:tcPr>
          <w:p w:rsidR="004B417C" w:rsidRPr="00494532" w:rsidRDefault="004B417C">
            <w:pPr>
              <w:jc w:val="right"/>
              <w:rPr>
                <w:szCs w:val="22"/>
              </w:rPr>
            </w:pPr>
            <w:r>
              <w:rPr>
                <w:szCs w:val="22"/>
              </w:rPr>
              <w:t>241</w:t>
            </w:r>
          </w:p>
        </w:tc>
        <w:tc>
          <w:tcPr>
            <w:tcW w:w="283" w:type="dxa"/>
            <w:vAlign w:val="center"/>
          </w:tcPr>
          <w:p w:rsidR="004B417C" w:rsidRDefault="004B417C">
            <w:pPr>
              <w:spacing w:line="240" w:lineRule="auto"/>
              <w:jc w:val="right"/>
              <w:rPr>
                <w:lang w:val="el-GR"/>
              </w:rPr>
            </w:pPr>
          </w:p>
        </w:tc>
        <w:tc>
          <w:tcPr>
            <w:tcW w:w="963" w:type="dxa"/>
            <w:tcBorders>
              <w:bottom w:val="single" w:sz="4" w:space="0" w:color="auto"/>
            </w:tcBorders>
            <w:vAlign w:val="bottom"/>
          </w:tcPr>
          <w:p w:rsidR="004B417C" w:rsidRPr="00BF60B0" w:rsidRDefault="004B417C">
            <w:pPr>
              <w:jc w:val="right"/>
              <w:rPr>
                <w:szCs w:val="22"/>
              </w:rPr>
            </w:pPr>
            <w:r>
              <w:rPr>
                <w:szCs w:val="22"/>
              </w:rPr>
              <w:t>235</w:t>
            </w:r>
          </w:p>
        </w:tc>
      </w:tr>
      <w:tr w:rsidR="004B417C">
        <w:trPr>
          <w:trHeight w:hRule="exact" w:val="340"/>
        </w:trPr>
        <w:tc>
          <w:tcPr>
            <w:tcW w:w="5529" w:type="dxa"/>
            <w:vAlign w:val="center"/>
          </w:tcPr>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both"/>
              <w:rPr>
                <w:lang w:val="el-GR"/>
              </w:rPr>
            </w:pPr>
          </w:p>
        </w:tc>
        <w:tc>
          <w:tcPr>
            <w:tcW w:w="1134" w:type="dxa"/>
            <w:tcBorders>
              <w:top w:val="single" w:sz="4" w:space="0" w:color="auto"/>
              <w:bottom w:val="double" w:sz="4" w:space="0" w:color="auto"/>
            </w:tcBorders>
            <w:vAlign w:val="center"/>
          </w:tcPr>
          <w:p w:rsidR="004B417C" w:rsidRPr="00065DA9" w:rsidRDefault="004B417C">
            <w:pPr>
              <w:spacing w:line="240" w:lineRule="auto"/>
              <w:jc w:val="right"/>
              <w:rPr>
                <w:b/>
                <w:bCs/>
              </w:rPr>
            </w:pPr>
            <w:r>
              <w:rPr>
                <w:b/>
                <w:bCs/>
              </w:rPr>
              <w:t>686</w:t>
            </w:r>
          </w:p>
        </w:tc>
        <w:tc>
          <w:tcPr>
            <w:tcW w:w="283" w:type="dxa"/>
            <w:vAlign w:val="center"/>
          </w:tcPr>
          <w:p w:rsidR="004B417C" w:rsidRDefault="004B417C">
            <w:pPr>
              <w:spacing w:line="240" w:lineRule="auto"/>
              <w:jc w:val="right"/>
              <w:rPr>
                <w:b/>
                <w:bCs/>
                <w:lang w:val="el-GR"/>
              </w:rPr>
            </w:pPr>
          </w:p>
        </w:tc>
        <w:tc>
          <w:tcPr>
            <w:tcW w:w="963" w:type="dxa"/>
            <w:tcBorders>
              <w:top w:val="single" w:sz="4" w:space="0" w:color="auto"/>
              <w:bottom w:val="double" w:sz="4" w:space="0" w:color="auto"/>
            </w:tcBorders>
            <w:vAlign w:val="center"/>
          </w:tcPr>
          <w:p w:rsidR="004B417C" w:rsidRPr="00BF60B0" w:rsidRDefault="004B417C">
            <w:pPr>
              <w:spacing w:line="240" w:lineRule="auto"/>
              <w:jc w:val="right"/>
              <w:rPr>
                <w:b/>
                <w:bCs/>
              </w:rPr>
            </w:pPr>
            <w:r>
              <w:rPr>
                <w:b/>
                <w:bCs/>
              </w:rPr>
              <w:t>418</w:t>
            </w:r>
          </w:p>
        </w:tc>
      </w:tr>
    </w:tbl>
    <w:p w:rsidR="004B417C" w:rsidRDefault="004B417C" w:rsidP="00C02EBD">
      <w:pPr>
        <w:rPr>
          <w:lang w:val="el-GR"/>
        </w:rPr>
      </w:pPr>
    </w:p>
    <w:p w:rsidR="00A548D0" w:rsidRDefault="00A548D0" w:rsidP="00C02EBD">
      <w:pPr>
        <w:rPr>
          <w:lang w:val="el-GR"/>
        </w:rPr>
      </w:pPr>
    </w:p>
    <w:p w:rsidR="00A548D0" w:rsidRDefault="00A548D0" w:rsidP="00C02EBD">
      <w:pPr>
        <w:rPr>
          <w:lang w:val="el-GR"/>
        </w:rPr>
      </w:pPr>
    </w:p>
    <w:p w:rsidR="00A548D0" w:rsidRDefault="00A548D0" w:rsidP="00C02EBD">
      <w:pPr>
        <w:rPr>
          <w:lang w:val="el-GR"/>
        </w:rPr>
      </w:pPr>
    </w:p>
    <w:p w:rsidR="00A548D0" w:rsidRDefault="00A548D0" w:rsidP="00C02EBD">
      <w:pPr>
        <w:rPr>
          <w:lang w:val="el-GR"/>
        </w:rPr>
      </w:pPr>
    </w:p>
    <w:p w:rsidR="00A548D0" w:rsidRDefault="00A548D0" w:rsidP="00C02EBD">
      <w:pPr>
        <w:rPr>
          <w:lang w:val="el-GR"/>
        </w:rPr>
      </w:pPr>
    </w:p>
    <w:p w:rsidR="00A548D0" w:rsidRDefault="00A548D0" w:rsidP="00C02EBD">
      <w:pPr>
        <w:rPr>
          <w:lang w:val="el-GR"/>
        </w:rPr>
      </w:pPr>
    </w:p>
    <w:p w:rsidR="00A548D0" w:rsidRDefault="00A548D0" w:rsidP="00C02EBD">
      <w:pPr>
        <w:rPr>
          <w:lang w:val="el-GR"/>
        </w:rPr>
      </w:pPr>
    </w:p>
    <w:p w:rsidR="00A548D0" w:rsidRDefault="00A548D0" w:rsidP="00C02EBD">
      <w:pPr>
        <w:rPr>
          <w:lang w:val="el-GR"/>
        </w:rPr>
      </w:pPr>
    </w:p>
    <w:p w:rsidR="00A548D0" w:rsidRDefault="00A548D0" w:rsidP="00C02EBD">
      <w:pPr>
        <w:rPr>
          <w:lang w:val="el-GR"/>
        </w:rPr>
      </w:pPr>
    </w:p>
    <w:p w:rsidR="00A548D0" w:rsidRDefault="00A548D0" w:rsidP="00C02EBD">
      <w:pPr>
        <w:rPr>
          <w:lang w:val="el-GR"/>
        </w:rPr>
      </w:pPr>
    </w:p>
    <w:p w:rsidR="00A548D0" w:rsidRDefault="00A548D0" w:rsidP="00C02EBD">
      <w:pPr>
        <w:rPr>
          <w:lang w:val="el-GR"/>
        </w:rPr>
      </w:pPr>
    </w:p>
    <w:p w:rsidR="00A548D0" w:rsidRDefault="00A548D0" w:rsidP="00C02EBD">
      <w:pPr>
        <w:rPr>
          <w:lang w:val="el-GR"/>
        </w:rPr>
      </w:pPr>
    </w:p>
    <w:p w:rsidR="00A548D0" w:rsidRPr="00C02EBD" w:rsidRDefault="00A548D0" w:rsidP="00C02EBD">
      <w:pPr>
        <w:rPr>
          <w:lang w:val="el-GR"/>
        </w:rPr>
      </w:pPr>
    </w:p>
    <w:p w:rsidR="004B417C" w:rsidRDefault="004B417C" w:rsidP="00AC2D11">
      <w:pPr>
        <w:pStyle w:val="Heading1"/>
        <w:keepLines/>
        <w:numPr>
          <w:ilvl w:val="0"/>
          <w:numId w:val="32"/>
        </w:numPr>
        <w:shd w:val="clear" w:color="auto" w:fill="auto"/>
        <w:spacing w:before="130" w:line="280" w:lineRule="atLeast"/>
        <w:ind w:left="357" w:hanging="357"/>
        <w:rPr>
          <w:szCs w:val="22"/>
          <w:lang w:val="el-GR"/>
        </w:rPr>
      </w:pPr>
      <w:r>
        <w:rPr>
          <w:szCs w:val="22"/>
          <w:lang w:val="el-GR"/>
        </w:rPr>
        <w:lastRenderedPageBreak/>
        <w:t>Γενικά και διοικητικά έξοδα</w:t>
      </w:r>
    </w:p>
    <w:tbl>
      <w:tblPr>
        <w:tblW w:w="7909" w:type="dxa"/>
        <w:tblInd w:w="108" w:type="dxa"/>
        <w:tblLayout w:type="fixed"/>
        <w:tblLook w:val="0000"/>
      </w:tblPr>
      <w:tblGrid>
        <w:gridCol w:w="5580"/>
        <w:gridCol w:w="1024"/>
        <w:gridCol w:w="236"/>
        <w:gridCol w:w="1069"/>
      </w:tblGrid>
      <w:tr w:rsidR="004B417C">
        <w:trPr>
          <w:trHeight w:hRule="exact" w:val="397"/>
        </w:trPr>
        <w:tc>
          <w:tcPr>
            <w:tcW w:w="5580" w:type="dxa"/>
            <w:vAlign w:val="bottom"/>
          </w:tcPr>
          <w:p w:rsidR="004B417C" w:rsidRDefault="004B417C">
            <w:pPr>
              <w:rPr>
                <w:szCs w:val="22"/>
                <w:lang w:val="el-GR"/>
              </w:rPr>
            </w:pPr>
          </w:p>
        </w:tc>
        <w:tc>
          <w:tcPr>
            <w:tcW w:w="1024" w:type="dxa"/>
            <w:tcBorders>
              <w:bottom w:val="single" w:sz="4" w:space="0" w:color="auto"/>
            </w:tcBorders>
            <w:vAlign w:val="bottom"/>
          </w:tcPr>
          <w:p w:rsidR="004B417C" w:rsidRPr="0020307A" w:rsidRDefault="004B417C">
            <w:pPr>
              <w:jc w:val="right"/>
              <w:rPr>
                <w:b/>
                <w:bCs/>
                <w:szCs w:val="22"/>
              </w:rPr>
            </w:pPr>
            <w:r>
              <w:rPr>
                <w:b/>
                <w:bCs/>
                <w:szCs w:val="22"/>
                <w:lang w:val="el-GR"/>
              </w:rPr>
              <w:t>201</w:t>
            </w:r>
            <w:r>
              <w:rPr>
                <w:b/>
                <w:bCs/>
                <w:szCs w:val="22"/>
              </w:rPr>
              <w:t>2</w:t>
            </w:r>
          </w:p>
        </w:tc>
        <w:tc>
          <w:tcPr>
            <w:tcW w:w="236" w:type="dxa"/>
            <w:vAlign w:val="bottom"/>
          </w:tcPr>
          <w:p w:rsidR="004B417C" w:rsidRDefault="004B417C">
            <w:pPr>
              <w:jc w:val="right"/>
              <w:rPr>
                <w:b/>
                <w:bCs/>
                <w:szCs w:val="22"/>
              </w:rPr>
            </w:pPr>
          </w:p>
        </w:tc>
        <w:tc>
          <w:tcPr>
            <w:tcW w:w="1069" w:type="dxa"/>
            <w:tcBorders>
              <w:bottom w:val="single" w:sz="4" w:space="0" w:color="auto"/>
            </w:tcBorders>
            <w:vAlign w:val="bottom"/>
          </w:tcPr>
          <w:p w:rsidR="004B417C" w:rsidRPr="00BF60B0" w:rsidRDefault="004B417C">
            <w:pPr>
              <w:jc w:val="right"/>
              <w:rPr>
                <w:b/>
                <w:bCs/>
                <w:szCs w:val="22"/>
              </w:rPr>
            </w:pPr>
            <w:r>
              <w:rPr>
                <w:b/>
                <w:bCs/>
                <w:szCs w:val="22"/>
                <w:lang w:val="el-GR"/>
              </w:rPr>
              <w:t>201</w:t>
            </w:r>
            <w:r>
              <w:rPr>
                <w:b/>
                <w:bCs/>
                <w:szCs w:val="22"/>
              </w:rPr>
              <w:t>1</w:t>
            </w:r>
          </w:p>
        </w:tc>
      </w:tr>
      <w:tr w:rsidR="004B417C" w:rsidRPr="00DC40DC">
        <w:trPr>
          <w:trHeight w:hRule="exact" w:val="340"/>
        </w:trPr>
        <w:tc>
          <w:tcPr>
            <w:tcW w:w="5580" w:type="dxa"/>
            <w:vAlign w:val="bottom"/>
          </w:tcPr>
          <w:p w:rsidR="004B417C" w:rsidRDefault="004B417C">
            <w:pPr>
              <w:jc w:val="both"/>
              <w:rPr>
                <w:szCs w:val="22"/>
                <w:lang w:val="el-GR"/>
              </w:rPr>
            </w:pPr>
            <w:r>
              <w:rPr>
                <w:szCs w:val="22"/>
                <w:lang w:val="el-GR"/>
              </w:rPr>
              <w:t>Αμοιβές και έξοδα προσωπικού (σημ. 6.1)</w:t>
            </w:r>
          </w:p>
        </w:tc>
        <w:tc>
          <w:tcPr>
            <w:tcW w:w="1024" w:type="dxa"/>
            <w:vAlign w:val="bottom"/>
          </w:tcPr>
          <w:p w:rsidR="004B417C" w:rsidRPr="00DC40DC" w:rsidRDefault="004B417C">
            <w:pPr>
              <w:jc w:val="right"/>
              <w:rPr>
                <w:szCs w:val="22"/>
                <w:lang w:val="el-GR"/>
              </w:rPr>
            </w:pPr>
            <w:r w:rsidRPr="00DC40DC">
              <w:rPr>
                <w:szCs w:val="22"/>
                <w:lang w:val="el-GR"/>
              </w:rPr>
              <w:t>1.</w:t>
            </w:r>
            <w:r>
              <w:rPr>
                <w:szCs w:val="22"/>
                <w:lang w:val="el-GR"/>
              </w:rPr>
              <w:t>487</w:t>
            </w:r>
          </w:p>
        </w:tc>
        <w:tc>
          <w:tcPr>
            <w:tcW w:w="236" w:type="dxa"/>
            <w:vAlign w:val="bottom"/>
          </w:tcPr>
          <w:p w:rsidR="004B417C" w:rsidRPr="003C282A" w:rsidRDefault="004B417C">
            <w:pPr>
              <w:rPr>
                <w:szCs w:val="22"/>
                <w:lang w:val="el-GR"/>
              </w:rPr>
            </w:pPr>
          </w:p>
        </w:tc>
        <w:tc>
          <w:tcPr>
            <w:tcW w:w="1069" w:type="dxa"/>
            <w:vAlign w:val="bottom"/>
          </w:tcPr>
          <w:p w:rsidR="004B417C" w:rsidRPr="00DC40DC" w:rsidRDefault="004B417C">
            <w:pPr>
              <w:jc w:val="right"/>
              <w:rPr>
                <w:szCs w:val="22"/>
                <w:lang w:val="el-GR"/>
              </w:rPr>
            </w:pPr>
            <w:r w:rsidRPr="00DC40DC">
              <w:rPr>
                <w:szCs w:val="22"/>
                <w:lang w:val="el-GR"/>
              </w:rPr>
              <w:t>1.</w:t>
            </w:r>
            <w:r>
              <w:rPr>
                <w:szCs w:val="22"/>
                <w:lang w:val="el-GR"/>
              </w:rPr>
              <w:t>706</w:t>
            </w:r>
          </w:p>
        </w:tc>
      </w:tr>
      <w:tr w:rsidR="004B417C" w:rsidRPr="00DC40DC">
        <w:trPr>
          <w:trHeight w:hRule="exact" w:val="340"/>
        </w:trPr>
        <w:tc>
          <w:tcPr>
            <w:tcW w:w="5580" w:type="dxa"/>
            <w:vAlign w:val="bottom"/>
          </w:tcPr>
          <w:p w:rsidR="004B417C" w:rsidRPr="003C282A" w:rsidRDefault="004B417C">
            <w:pPr>
              <w:jc w:val="both"/>
              <w:rPr>
                <w:szCs w:val="22"/>
                <w:lang w:val="el-GR"/>
              </w:rPr>
            </w:pPr>
            <w:r>
              <w:rPr>
                <w:szCs w:val="22"/>
                <w:lang w:val="el-GR"/>
              </w:rPr>
              <w:t>Αμοιβές τρίτων</w:t>
            </w:r>
          </w:p>
        </w:tc>
        <w:tc>
          <w:tcPr>
            <w:tcW w:w="1024" w:type="dxa"/>
            <w:vAlign w:val="bottom"/>
          </w:tcPr>
          <w:p w:rsidR="004B417C" w:rsidRPr="00DC40DC" w:rsidRDefault="004B417C">
            <w:pPr>
              <w:jc w:val="right"/>
              <w:rPr>
                <w:szCs w:val="22"/>
                <w:lang w:val="el-GR"/>
              </w:rPr>
            </w:pPr>
            <w:r w:rsidRPr="00DC40DC">
              <w:rPr>
                <w:szCs w:val="22"/>
                <w:lang w:val="el-GR"/>
              </w:rPr>
              <w:t>1.025</w:t>
            </w:r>
          </w:p>
        </w:tc>
        <w:tc>
          <w:tcPr>
            <w:tcW w:w="236" w:type="dxa"/>
            <w:vAlign w:val="bottom"/>
          </w:tcPr>
          <w:p w:rsidR="004B417C" w:rsidRPr="003C282A" w:rsidRDefault="004B417C">
            <w:pPr>
              <w:jc w:val="right"/>
              <w:rPr>
                <w:szCs w:val="22"/>
                <w:lang w:val="el-GR"/>
              </w:rPr>
            </w:pPr>
          </w:p>
        </w:tc>
        <w:tc>
          <w:tcPr>
            <w:tcW w:w="1069" w:type="dxa"/>
            <w:vAlign w:val="bottom"/>
          </w:tcPr>
          <w:p w:rsidR="004B417C" w:rsidRPr="00DC40DC" w:rsidRDefault="004B417C">
            <w:pPr>
              <w:jc w:val="right"/>
              <w:rPr>
                <w:szCs w:val="22"/>
                <w:lang w:val="el-GR"/>
              </w:rPr>
            </w:pPr>
            <w:r w:rsidRPr="00DC40DC">
              <w:rPr>
                <w:szCs w:val="22"/>
                <w:lang w:val="el-GR"/>
              </w:rPr>
              <w:t>999</w:t>
            </w:r>
          </w:p>
        </w:tc>
      </w:tr>
      <w:tr w:rsidR="004B417C" w:rsidRPr="00DC40DC">
        <w:trPr>
          <w:trHeight w:hRule="exact" w:val="340"/>
        </w:trPr>
        <w:tc>
          <w:tcPr>
            <w:tcW w:w="5580" w:type="dxa"/>
            <w:vAlign w:val="bottom"/>
          </w:tcPr>
          <w:p w:rsidR="004B417C" w:rsidRPr="003C282A" w:rsidRDefault="004B417C" w:rsidP="00ED676F">
            <w:pPr>
              <w:jc w:val="both"/>
              <w:rPr>
                <w:szCs w:val="22"/>
                <w:lang w:val="el-GR"/>
              </w:rPr>
            </w:pPr>
            <w:r>
              <w:rPr>
                <w:szCs w:val="22"/>
                <w:lang w:val="el-GR"/>
              </w:rPr>
              <w:t>Ενοίκια</w:t>
            </w:r>
          </w:p>
        </w:tc>
        <w:tc>
          <w:tcPr>
            <w:tcW w:w="1024" w:type="dxa"/>
            <w:vAlign w:val="bottom"/>
          </w:tcPr>
          <w:p w:rsidR="004B417C" w:rsidRPr="00DC40DC" w:rsidRDefault="004B417C" w:rsidP="00ED676F">
            <w:pPr>
              <w:jc w:val="right"/>
              <w:rPr>
                <w:szCs w:val="22"/>
                <w:lang w:val="el-GR"/>
              </w:rPr>
            </w:pPr>
            <w:r w:rsidRPr="00DC40DC">
              <w:rPr>
                <w:szCs w:val="22"/>
                <w:lang w:val="el-GR"/>
              </w:rPr>
              <w:t>342</w:t>
            </w:r>
          </w:p>
        </w:tc>
        <w:tc>
          <w:tcPr>
            <w:tcW w:w="236" w:type="dxa"/>
            <w:vAlign w:val="bottom"/>
          </w:tcPr>
          <w:p w:rsidR="004B417C" w:rsidRPr="003C282A" w:rsidRDefault="004B417C" w:rsidP="00ED676F">
            <w:pPr>
              <w:jc w:val="right"/>
              <w:rPr>
                <w:szCs w:val="22"/>
                <w:lang w:val="el-GR"/>
              </w:rPr>
            </w:pPr>
          </w:p>
        </w:tc>
        <w:tc>
          <w:tcPr>
            <w:tcW w:w="1069" w:type="dxa"/>
            <w:vAlign w:val="bottom"/>
          </w:tcPr>
          <w:p w:rsidR="004B417C" w:rsidRPr="00DC40DC" w:rsidRDefault="004B417C" w:rsidP="00ED676F">
            <w:pPr>
              <w:jc w:val="right"/>
              <w:rPr>
                <w:szCs w:val="22"/>
                <w:lang w:val="el-GR"/>
              </w:rPr>
            </w:pPr>
            <w:r w:rsidRPr="00DC40DC">
              <w:rPr>
                <w:szCs w:val="22"/>
                <w:lang w:val="el-GR"/>
              </w:rPr>
              <w:t>336</w:t>
            </w:r>
          </w:p>
        </w:tc>
      </w:tr>
      <w:tr w:rsidR="004B417C" w:rsidRPr="00DC40DC">
        <w:trPr>
          <w:trHeight w:hRule="exact" w:val="340"/>
        </w:trPr>
        <w:tc>
          <w:tcPr>
            <w:tcW w:w="5580" w:type="dxa"/>
            <w:vAlign w:val="bottom"/>
          </w:tcPr>
          <w:p w:rsidR="004B417C" w:rsidRDefault="004B417C" w:rsidP="00ED676F">
            <w:pPr>
              <w:jc w:val="both"/>
              <w:rPr>
                <w:szCs w:val="22"/>
                <w:lang w:val="el-GR"/>
              </w:rPr>
            </w:pPr>
            <w:r>
              <w:rPr>
                <w:szCs w:val="22"/>
                <w:lang w:val="el-GR"/>
              </w:rPr>
              <w:t>Φόροι – τέλη</w:t>
            </w:r>
          </w:p>
        </w:tc>
        <w:tc>
          <w:tcPr>
            <w:tcW w:w="1024" w:type="dxa"/>
            <w:vAlign w:val="bottom"/>
          </w:tcPr>
          <w:p w:rsidR="004B417C" w:rsidRPr="001C38F5" w:rsidRDefault="004B417C" w:rsidP="00ED676F">
            <w:pPr>
              <w:jc w:val="right"/>
              <w:rPr>
                <w:szCs w:val="22"/>
                <w:lang w:val="el-GR"/>
              </w:rPr>
            </w:pPr>
            <w:r w:rsidRPr="00DC40DC">
              <w:rPr>
                <w:szCs w:val="22"/>
                <w:lang w:val="el-GR"/>
              </w:rPr>
              <w:t>6.</w:t>
            </w:r>
            <w:r>
              <w:rPr>
                <w:szCs w:val="22"/>
                <w:lang w:val="el-GR"/>
              </w:rPr>
              <w:t>271</w:t>
            </w:r>
          </w:p>
        </w:tc>
        <w:tc>
          <w:tcPr>
            <w:tcW w:w="236" w:type="dxa"/>
            <w:vAlign w:val="bottom"/>
          </w:tcPr>
          <w:p w:rsidR="004B417C" w:rsidRPr="003C282A" w:rsidRDefault="004B417C" w:rsidP="00ED676F">
            <w:pPr>
              <w:jc w:val="right"/>
              <w:rPr>
                <w:szCs w:val="22"/>
                <w:lang w:val="el-GR"/>
              </w:rPr>
            </w:pPr>
          </w:p>
        </w:tc>
        <w:tc>
          <w:tcPr>
            <w:tcW w:w="1069" w:type="dxa"/>
            <w:vAlign w:val="bottom"/>
          </w:tcPr>
          <w:p w:rsidR="004B417C" w:rsidRPr="00DC40DC" w:rsidRDefault="004B417C" w:rsidP="00ED676F">
            <w:pPr>
              <w:jc w:val="right"/>
              <w:rPr>
                <w:szCs w:val="22"/>
                <w:lang w:val="el-GR"/>
              </w:rPr>
            </w:pPr>
            <w:r w:rsidRPr="00DC40DC">
              <w:rPr>
                <w:szCs w:val="22"/>
                <w:lang w:val="el-GR"/>
              </w:rPr>
              <w:t>3.164</w:t>
            </w:r>
          </w:p>
        </w:tc>
      </w:tr>
      <w:tr w:rsidR="004B417C" w:rsidRPr="00DC40DC">
        <w:trPr>
          <w:trHeight w:hRule="exact" w:val="340"/>
        </w:trPr>
        <w:tc>
          <w:tcPr>
            <w:tcW w:w="5580" w:type="dxa"/>
            <w:vAlign w:val="bottom"/>
          </w:tcPr>
          <w:p w:rsidR="004B417C" w:rsidRPr="003C282A" w:rsidRDefault="004B417C" w:rsidP="00ED676F">
            <w:pPr>
              <w:jc w:val="both"/>
              <w:rPr>
                <w:szCs w:val="22"/>
                <w:lang w:val="el-GR"/>
              </w:rPr>
            </w:pPr>
            <w:r>
              <w:rPr>
                <w:szCs w:val="22"/>
                <w:lang w:val="el-GR"/>
              </w:rPr>
              <w:t>Ασφάλιστρα</w:t>
            </w:r>
          </w:p>
        </w:tc>
        <w:tc>
          <w:tcPr>
            <w:tcW w:w="1024" w:type="dxa"/>
            <w:vAlign w:val="bottom"/>
          </w:tcPr>
          <w:p w:rsidR="004B417C" w:rsidRPr="00DC40DC" w:rsidRDefault="004B417C" w:rsidP="00ED676F">
            <w:pPr>
              <w:jc w:val="right"/>
              <w:rPr>
                <w:szCs w:val="22"/>
                <w:lang w:val="el-GR"/>
              </w:rPr>
            </w:pPr>
            <w:r w:rsidRPr="00DC40DC">
              <w:rPr>
                <w:szCs w:val="22"/>
                <w:lang w:val="el-GR"/>
              </w:rPr>
              <w:t>37</w:t>
            </w:r>
          </w:p>
        </w:tc>
        <w:tc>
          <w:tcPr>
            <w:tcW w:w="236" w:type="dxa"/>
            <w:vAlign w:val="bottom"/>
          </w:tcPr>
          <w:p w:rsidR="004B417C" w:rsidRPr="003C282A" w:rsidRDefault="004B417C" w:rsidP="00ED676F">
            <w:pPr>
              <w:jc w:val="right"/>
              <w:rPr>
                <w:szCs w:val="22"/>
                <w:lang w:val="el-GR"/>
              </w:rPr>
            </w:pPr>
          </w:p>
        </w:tc>
        <w:tc>
          <w:tcPr>
            <w:tcW w:w="1069" w:type="dxa"/>
            <w:vAlign w:val="bottom"/>
          </w:tcPr>
          <w:p w:rsidR="004B417C" w:rsidRPr="00DC40DC" w:rsidRDefault="004B417C" w:rsidP="00ED676F">
            <w:pPr>
              <w:jc w:val="right"/>
              <w:rPr>
                <w:szCs w:val="22"/>
                <w:lang w:val="el-GR"/>
              </w:rPr>
            </w:pPr>
            <w:r w:rsidRPr="00DC40DC">
              <w:rPr>
                <w:szCs w:val="22"/>
                <w:lang w:val="el-GR"/>
              </w:rPr>
              <w:t>86</w:t>
            </w:r>
          </w:p>
        </w:tc>
      </w:tr>
      <w:tr w:rsidR="004B417C" w:rsidRPr="00DC40DC">
        <w:trPr>
          <w:trHeight w:hRule="exact" w:val="340"/>
        </w:trPr>
        <w:tc>
          <w:tcPr>
            <w:tcW w:w="5580" w:type="dxa"/>
            <w:vAlign w:val="bottom"/>
          </w:tcPr>
          <w:p w:rsidR="004B417C" w:rsidRPr="00DC40DC" w:rsidRDefault="004B417C" w:rsidP="00ED676F">
            <w:pPr>
              <w:jc w:val="both"/>
              <w:rPr>
                <w:szCs w:val="22"/>
                <w:lang w:val="el-GR"/>
              </w:rPr>
            </w:pPr>
            <w:r>
              <w:rPr>
                <w:szCs w:val="22"/>
                <w:lang w:val="el-GR"/>
              </w:rPr>
              <w:t>Αποσβέσεις</w:t>
            </w:r>
          </w:p>
        </w:tc>
        <w:tc>
          <w:tcPr>
            <w:tcW w:w="1024" w:type="dxa"/>
            <w:vAlign w:val="bottom"/>
          </w:tcPr>
          <w:p w:rsidR="004B417C" w:rsidRPr="00DC40DC" w:rsidRDefault="004B417C" w:rsidP="00ED676F">
            <w:pPr>
              <w:jc w:val="right"/>
              <w:rPr>
                <w:szCs w:val="22"/>
                <w:lang w:val="el-GR"/>
              </w:rPr>
            </w:pPr>
            <w:r w:rsidRPr="00DC40DC">
              <w:rPr>
                <w:szCs w:val="22"/>
                <w:lang w:val="el-GR"/>
              </w:rPr>
              <w:t>1.672</w:t>
            </w:r>
          </w:p>
        </w:tc>
        <w:tc>
          <w:tcPr>
            <w:tcW w:w="236" w:type="dxa"/>
            <w:vAlign w:val="bottom"/>
          </w:tcPr>
          <w:p w:rsidR="004B417C" w:rsidRPr="00DC40DC" w:rsidRDefault="004B417C" w:rsidP="00ED676F">
            <w:pPr>
              <w:jc w:val="right"/>
              <w:rPr>
                <w:szCs w:val="22"/>
                <w:lang w:val="el-GR"/>
              </w:rPr>
            </w:pPr>
          </w:p>
        </w:tc>
        <w:tc>
          <w:tcPr>
            <w:tcW w:w="1069" w:type="dxa"/>
            <w:vAlign w:val="bottom"/>
          </w:tcPr>
          <w:p w:rsidR="004B417C" w:rsidRPr="00DC40DC" w:rsidRDefault="004B417C" w:rsidP="00ED676F">
            <w:pPr>
              <w:jc w:val="right"/>
              <w:rPr>
                <w:szCs w:val="22"/>
                <w:lang w:val="el-GR"/>
              </w:rPr>
            </w:pPr>
            <w:r w:rsidRPr="00DC40DC">
              <w:rPr>
                <w:szCs w:val="22"/>
                <w:lang w:val="el-GR"/>
              </w:rPr>
              <w:t>700</w:t>
            </w:r>
          </w:p>
        </w:tc>
      </w:tr>
      <w:tr w:rsidR="004B417C">
        <w:trPr>
          <w:trHeight w:hRule="exact" w:val="340"/>
        </w:trPr>
        <w:tc>
          <w:tcPr>
            <w:tcW w:w="5580" w:type="dxa"/>
            <w:vAlign w:val="bottom"/>
          </w:tcPr>
          <w:p w:rsidR="004B417C" w:rsidRDefault="004B417C" w:rsidP="00ED676F">
            <w:pPr>
              <w:jc w:val="both"/>
              <w:rPr>
                <w:szCs w:val="22"/>
                <w:lang w:val="el-GR"/>
              </w:rPr>
            </w:pPr>
            <w:r>
              <w:rPr>
                <w:szCs w:val="22"/>
                <w:lang w:val="el-GR"/>
              </w:rPr>
              <w:t xml:space="preserve">Δικαστικά </w:t>
            </w:r>
          </w:p>
        </w:tc>
        <w:tc>
          <w:tcPr>
            <w:tcW w:w="1024" w:type="dxa"/>
            <w:vAlign w:val="bottom"/>
          </w:tcPr>
          <w:p w:rsidR="004B417C" w:rsidRPr="001A188B" w:rsidRDefault="004B417C" w:rsidP="001A188B">
            <w:pPr>
              <w:rPr>
                <w:szCs w:val="22"/>
                <w:highlight w:val="red"/>
                <w:lang w:val="el-GR"/>
              </w:rPr>
            </w:pPr>
            <w:r w:rsidRPr="001A188B">
              <w:rPr>
                <w:szCs w:val="22"/>
                <w:lang w:val="el-GR"/>
              </w:rPr>
              <w:t xml:space="preserve">        </w:t>
            </w:r>
            <w:r>
              <w:rPr>
                <w:szCs w:val="22"/>
              </w:rPr>
              <w:t xml:space="preserve">  89</w:t>
            </w:r>
            <w:r>
              <w:rPr>
                <w:szCs w:val="22"/>
                <w:lang w:val="el-GR"/>
              </w:rPr>
              <w:t xml:space="preserve"> </w:t>
            </w:r>
          </w:p>
        </w:tc>
        <w:tc>
          <w:tcPr>
            <w:tcW w:w="236" w:type="dxa"/>
            <w:vAlign w:val="bottom"/>
          </w:tcPr>
          <w:p w:rsidR="004B417C" w:rsidRPr="00D92D69" w:rsidRDefault="004B417C" w:rsidP="00ED676F">
            <w:pPr>
              <w:jc w:val="right"/>
              <w:rPr>
                <w:szCs w:val="22"/>
                <w:highlight w:val="red"/>
              </w:rPr>
            </w:pPr>
          </w:p>
        </w:tc>
        <w:tc>
          <w:tcPr>
            <w:tcW w:w="1069" w:type="dxa"/>
            <w:vAlign w:val="bottom"/>
          </w:tcPr>
          <w:p w:rsidR="004B417C" w:rsidRPr="00BF60B0" w:rsidRDefault="004B417C" w:rsidP="00ED676F">
            <w:pPr>
              <w:jc w:val="right"/>
              <w:rPr>
                <w:szCs w:val="22"/>
              </w:rPr>
            </w:pPr>
            <w:r>
              <w:rPr>
                <w:szCs w:val="22"/>
              </w:rPr>
              <w:t>134</w:t>
            </w:r>
          </w:p>
        </w:tc>
      </w:tr>
      <w:tr w:rsidR="004B417C">
        <w:trPr>
          <w:trHeight w:hRule="exact" w:val="340"/>
        </w:trPr>
        <w:tc>
          <w:tcPr>
            <w:tcW w:w="5580" w:type="dxa"/>
            <w:vAlign w:val="bottom"/>
          </w:tcPr>
          <w:p w:rsidR="004B417C" w:rsidRDefault="004B417C">
            <w:pPr>
              <w:jc w:val="both"/>
              <w:rPr>
                <w:szCs w:val="22"/>
                <w:lang w:val="el-GR"/>
              </w:rPr>
            </w:pPr>
            <w:r>
              <w:rPr>
                <w:szCs w:val="22"/>
                <w:lang w:val="el-GR"/>
              </w:rPr>
              <w:t>Έξοδα μεταβίβασης</w:t>
            </w:r>
          </w:p>
        </w:tc>
        <w:tc>
          <w:tcPr>
            <w:tcW w:w="1024" w:type="dxa"/>
            <w:vAlign w:val="bottom"/>
          </w:tcPr>
          <w:p w:rsidR="004B417C" w:rsidRPr="000C56F0" w:rsidRDefault="004B417C">
            <w:pPr>
              <w:jc w:val="right"/>
              <w:rPr>
                <w:szCs w:val="22"/>
              </w:rPr>
            </w:pPr>
            <w:r>
              <w:rPr>
                <w:szCs w:val="22"/>
                <w:lang w:val="el-GR"/>
              </w:rPr>
              <w:t>2</w:t>
            </w:r>
            <w:r>
              <w:rPr>
                <w:szCs w:val="22"/>
              </w:rPr>
              <w:t>1</w:t>
            </w:r>
          </w:p>
        </w:tc>
        <w:tc>
          <w:tcPr>
            <w:tcW w:w="236" w:type="dxa"/>
            <w:vAlign w:val="bottom"/>
          </w:tcPr>
          <w:p w:rsidR="004B417C" w:rsidRDefault="004B417C">
            <w:pPr>
              <w:jc w:val="right"/>
              <w:rPr>
                <w:szCs w:val="22"/>
              </w:rPr>
            </w:pPr>
          </w:p>
        </w:tc>
        <w:tc>
          <w:tcPr>
            <w:tcW w:w="1069" w:type="dxa"/>
            <w:vAlign w:val="bottom"/>
          </w:tcPr>
          <w:p w:rsidR="004B417C" w:rsidRPr="00BF60B0" w:rsidRDefault="004B417C">
            <w:pPr>
              <w:jc w:val="right"/>
              <w:rPr>
                <w:szCs w:val="22"/>
              </w:rPr>
            </w:pPr>
            <w:r>
              <w:rPr>
                <w:szCs w:val="22"/>
              </w:rPr>
              <w:t>23</w:t>
            </w:r>
          </w:p>
        </w:tc>
      </w:tr>
      <w:tr w:rsidR="004B417C">
        <w:trPr>
          <w:trHeight w:hRule="exact" w:val="340"/>
        </w:trPr>
        <w:tc>
          <w:tcPr>
            <w:tcW w:w="5580" w:type="dxa"/>
            <w:vAlign w:val="bottom"/>
          </w:tcPr>
          <w:p w:rsidR="004B417C" w:rsidRDefault="004B417C">
            <w:pPr>
              <w:jc w:val="both"/>
              <w:rPr>
                <w:szCs w:val="22"/>
              </w:rPr>
            </w:pPr>
            <w:r>
              <w:rPr>
                <w:szCs w:val="22"/>
                <w:lang w:val="el-GR"/>
              </w:rPr>
              <w:t>Επισκευές και συντηρήσεις</w:t>
            </w:r>
          </w:p>
        </w:tc>
        <w:tc>
          <w:tcPr>
            <w:tcW w:w="1024" w:type="dxa"/>
            <w:vAlign w:val="bottom"/>
          </w:tcPr>
          <w:p w:rsidR="004B417C" w:rsidRPr="00924C11" w:rsidRDefault="004B417C">
            <w:pPr>
              <w:jc w:val="right"/>
              <w:rPr>
                <w:szCs w:val="22"/>
              </w:rPr>
            </w:pPr>
            <w:r>
              <w:rPr>
                <w:szCs w:val="22"/>
              </w:rPr>
              <w:t>56</w:t>
            </w:r>
          </w:p>
        </w:tc>
        <w:tc>
          <w:tcPr>
            <w:tcW w:w="236" w:type="dxa"/>
            <w:vAlign w:val="bottom"/>
          </w:tcPr>
          <w:p w:rsidR="004B417C" w:rsidRDefault="004B417C">
            <w:pPr>
              <w:jc w:val="right"/>
              <w:rPr>
                <w:szCs w:val="22"/>
              </w:rPr>
            </w:pPr>
          </w:p>
        </w:tc>
        <w:tc>
          <w:tcPr>
            <w:tcW w:w="1069" w:type="dxa"/>
            <w:vAlign w:val="bottom"/>
          </w:tcPr>
          <w:p w:rsidR="004B417C" w:rsidRPr="00BF60B0" w:rsidRDefault="004B417C">
            <w:pPr>
              <w:jc w:val="right"/>
              <w:rPr>
                <w:szCs w:val="22"/>
              </w:rPr>
            </w:pPr>
            <w:r>
              <w:rPr>
                <w:szCs w:val="22"/>
              </w:rPr>
              <w:t>112</w:t>
            </w:r>
          </w:p>
        </w:tc>
      </w:tr>
      <w:tr w:rsidR="004B417C">
        <w:trPr>
          <w:trHeight w:hRule="exact" w:val="340"/>
        </w:trPr>
        <w:tc>
          <w:tcPr>
            <w:tcW w:w="5580" w:type="dxa"/>
            <w:vAlign w:val="bottom"/>
          </w:tcPr>
          <w:p w:rsidR="004B417C" w:rsidRDefault="004B417C" w:rsidP="00C173FA">
            <w:pPr>
              <w:jc w:val="both"/>
              <w:rPr>
                <w:szCs w:val="22"/>
              </w:rPr>
            </w:pPr>
            <w:r>
              <w:rPr>
                <w:szCs w:val="22"/>
                <w:lang w:val="el-GR"/>
              </w:rPr>
              <w:t>Τηλεπικοινωνίες</w:t>
            </w:r>
          </w:p>
        </w:tc>
        <w:tc>
          <w:tcPr>
            <w:tcW w:w="1024" w:type="dxa"/>
            <w:vAlign w:val="bottom"/>
          </w:tcPr>
          <w:p w:rsidR="004B417C" w:rsidRPr="00924C11" w:rsidRDefault="004B417C" w:rsidP="00C173FA">
            <w:pPr>
              <w:jc w:val="right"/>
              <w:rPr>
                <w:szCs w:val="22"/>
              </w:rPr>
            </w:pPr>
            <w:r>
              <w:rPr>
                <w:szCs w:val="22"/>
                <w:lang w:val="el-GR"/>
              </w:rPr>
              <w:t>5</w:t>
            </w:r>
            <w:r>
              <w:rPr>
                <w:szCs w:val="22"/>
              </w:rPr>
              <w:t>9</w:t>
            </w:r>
          </w:p>
        </w:tc>
        <w:tc>
          <w:tcPr>
            <w:tcW w:w="236" w:type="dxa"/>
            <w:vAlign w:val="bottom"/>
          </w:tcPr>
          <w:p w:rsidR="004B417C" w:rsidRDefault="004B417C" w:rsidP="00C173FA">
            <w:pPr>
              <w:jc w:val="right"/>
              <w:rPr>
                <w:szCs w:val="22"/>
              </w:rPr>
            </w:pPr>
          </w:p>
        </w:tc>
        <w:tc>
          <w:tcPr>
            <w:tcW w:w="1069" w:type="dxa"/>
            <w:vAlign w:val="bottom"/>
          </w:tcPr>
          <w:p w:rsidR="004B417C" w:rsidRPr="00BF60B0" w:rsidRDefault="004B417C" w:rsidP="00C173FA">
            <w:pPr>
              <w:jc w:val="right"/>
              <w:rPr>
                <w:szCs w:val="22"/>
              </w:rPr>
            </w:pPr>
            <w:r>
              <w:rPr>
                <w:szCs w:val="22"/>
              </w:rPr>
              <w:t>56</w:t>
            </w:r>
          </w:p>
        </w:tc>
      </w:tr>
      <w:tr w:rsidR="004B417C">
        <w:trPr>
          <w:trHeight w:hRule="exact" w:val="340"/>
        </w:trPr>
        <w:tc>
          <w:tcPr>
            <w:tcW w:w="5580" w:type="dxa"/>
            <w:vAlign w:val="bottom"/>
          </w:tcPr>
          <w:p w:rsidR="004B417C" w:rsidRDefault="004B417C" w:rsidP="00C173FA">
            <w:pPr>
              <w:jc w:val="both"/>
              <w:rPr>
                <w:szCs w:val="22"/>
                <w:lang w:val="el-GR"/>
              </w:rPr>
            </w:pPr>
            <w:r>
              <w:rPr>
                <w:szCs w:val="22"/>
                <w:lang w:val="el-GR"/>
              </w:rPr>
              <w:t>Κοινόχρηστες Δαπάνες</w:t>
            </w:r>
          </w:p>
        </w:tc>
        <w:tc>
          <w:tcPr>
            <w:tcW w:w="1024" w:type="dxa"/>
            <w:vAlign w:val="bottom"/>
          </w:tcPr>
          <w:p w:rsidR="004B417C" w:rsidRPr="00924C11" w:rsidRDefault="004B417C" w:rsidP="00C173FA">
            <w:pPr>
              <w:jc w:val="right"/>
              <w:rPr>
                <w:szCs w:val="22"/>
              </w:rPr>
            </w:pPr>
            <w:r>
              <w:rPr>
                <w:szCs w:val="22"/>
              </w:rPr>
              <w:t>114</w:t>
            </w:r>
          </w:p>
        </w:tc>
        <w:tc>
          <w:tcPr>
            <w:tcW w:w="236" w:type="dxa"/>
            <w:vAlign w:val="bottom"/>
          </w:tcPr>
          <w:p w:rsidR="004B417C" w:rsidRDefault="004B417C" w:rsidP="00C173FA">
            <w:pPr>
              <w:jc w:val="right"/>
              <w:rPr>
                <w:szCs w:val="22"/>
              </w:rPr>
            </w:pPr>
          </w:p>
        </w:tc>
        <w:tc>
          <w:tcPr>
            <w:tcW w:w="1069" w:type="dxa"/>
            <w:vAlign w:val="bottom"/>
          </w:tcPr>
          <w:p w:rsidR="004B417C" w:rsidRPr="00BF60B0" w:rsidRDefault="004B417C" w:rsidP="00C173FA">
            <w:pPr>
              <w:jc w:val="right"/>
              <w:rPr>
                <w:szCs w:val="22"/>
              </w:rPr>
            </w:pPr>
            <w:r>
              <w:rPr>
                <w:szCs w:val="22"/>
              </w:rPr>
              <w:t>156</w:t>
            </w:r>
          </w:p>
        </w:tc>
      </w:tr>
      <w:tr w:rsidR="004B417C">
        <w:trPr>
          <w:trHeight w:hRule="exact" w:val="340"/>
        </w:trPr>
        <w:tc>
          <w:tcPr>
            <w:tcW w:w="5580" w:type="dxa"/>
            <w:vAlign w:val="bottom"/>
          </w:tcPr>
          <w:p w:rsidR="004B417C" w:rsidRDefault="004B417C">
            <w:pPr>
              <w:jc w:val="both"/>
              <w:rPr>
                <w:szCs w:val="22"/>
              </w:rPr>
            </w:pPr>
            <w:r>
              <w:rPr>
                <w:szCs w:val="22"/>
                <w:lang w:val="el-GR"/>
              </w:rPr>
              <w:t>Μεταφορικά</w:t>
            </w:r>
          </w:p>
        </w:tc>
        <w:tc>
          <w:tcPr>
            <w:tcW w:w="1024" w:type="dxa"/>
            <w:vAlign w:val="bottom"/>
          </w:tcPr>
          <w:p w:rsidR="004B417C" w:rsidRPr="00924C11" w:rsidRDefault="004B417C">
            <w:pPr>
              <w:jc w:val="right"/>
              <w:rPr>
                <w:szCs w:val="22"/>
              </w:rPr>
            </w:pPr>
            <w:r>
              <w:rPr>
                <w:szCs w:val="22"/>
              </w:rPr>
              <w:t>112</w:t>
            </w:r>
          </w:p>
        </w:tc>
        <w:tc>
          <w:tcPr>
            <w:tcW w:w="236" w:type="dxa"/>
            <w:vAlign w:val="bottom"/>
          </w:tcPr>
          <w:p w:rsidR="004B417C" w:rsidRDefault="004B417C">
            <w:pPr>
              <w:jc w:val="right"/>
              <w:rPr>
                <w:szCs w:val="22"/>
              </w:rPr>
            </w:pPr>
          </w:p>
        </w:tc>
        <w:tc>
          <w:tcPr>
            <w:tcW w:w="1069" w:type="dxa"/>
            <w:vAlign w:val="bottom"/>
          </w:tcPr>
          <w:p w:rsidR="004B417C" w:rsidRPr="00BF60B0" w:rsidRDefault="004B417C">
            <w:pPr>
              <w:jc w:val="right"/>
              <w:rPr>
                <w:szCs w:val="22"/>
              </w:rPr>
            </w:pPr>
            <w:r>
              <w:rPr>
                <w:szCs w:val="22"/>
              </w:rPr>
              <w:t>197</w:t>
            </w:r>
          </w:p>
        </w:tc>
      </w:tr>
      <w:tr w:rsidR="004B417C">
        <w:trPr>
          <w:trHeight w:hRule="exact" w:val="340"/>
        </w:trPr>
        <w:tc>
          <w:tcPr>
            <w:tcW w:w="5580" w:type="dxa"/>
            <w:vAlign w:val="bottom"/>
          </w:tcPr>
          <w:p w:rsidR="004B417C" w:rsidRDefault="004B417C">
            <w:pPr>
              <w:jc w:val="both"/>
              <w:rPr>
                <w:szCs w:val="22"/>
              </w:rPr>
            </w:pPr>
            <w:r>
              <w:rPr>
                <w:szCs w:val="22"/>
                <w:lang w:val="el-GR"/>
              </w:rPr>
              <w:t>Έντυπα και γραφική ύλη</w:t>
            </w:r>
          </w:p>
        </w:tc>
        <w:tc>
          <w:tcPr>
            <w:tcW w:w="1024" w:type="dxa"/>
            <w:vAlign w:val="bottom"/>
          </w:tcPr>
          <w:p w:rsidR="004B417C" w:rsidRPr="00924C11" w:rsidRDefault="004B417C">
            <w:pPr>
              <w:jc w:val="right"/>
              <w:rPr>
                <w:szCs w:val="22"/>
              </w:rPr>
            </w:pPr>
            <w:r w:rsidRPr="00924C11">
              <w:rPr>
                <w:szCs w:val="22"/>
                <w:lang w:val="el-GR"/>
              </w:rPr>
              <w:t>1</w:t>
            </w:r>
            <w:r w:rsidRPr="00924C11">
              <w:rPr>
                <w:szCs w:val="22"/>
              </w:rPr>
              <w:t>1</w:t>
            </w:r>
          </w:p>
        </w:tc>
        <w:tc>
          <w:tcPr>
            <w:tcW w:w="236" w:type="dxa"/>
            <w:vAlign w:val="bottom"/>
          </w:tcPr>
          <w:p w:rsidR="004B417C" w:rsidRDefault="004B417C">
            <w:pPr>
              <w:jc w:val="right"/>
              <w:rPr>
                <w:szCs w:val="22"/>
              </w:rPr>
            </w:pPr>
          </w:p>
        </w:tc>
        <w:tc>
          <w:tcPr>
            <w:tcW w:w="1069" w:type="dxa"/>
            <w:vAlign w:val="bottom"/>
          </w:tcPr>
          <w:p w:rsidR="004B417C" w:rsidRPr="00BF60B0" w:rsidRDefault="004B417C">
            <w:pPr>
              <w:jc w:val="right"/>
              <w:rPr>
                <w:szCs w:val="22"/>
              </w:rPr>
            </w:pPr>
            <w:r>
              <w:rPr>
                <w:szCs w:val="22"/>
              </w:rPr>
              <w:t>17</w:t>
            </w:r>
          </w:p>
        </w:tc>
      </w:tr>
      <w:tr w:rsidR="004B417C" w:rsidTr="00FC7D9B">
        <w:trPr>
          <w:trHeight w:hRule="exact" w:val="340"/>
        </w:trPr>
        <w:tc>
          <w:tcPr>
            <w:tcW w:w="5580" w:type="dxa"/>
            <w:vAlign w:val="bottom"/>
          </w:tcPr>
          <w:p w:rsidR="004B417C" w:rsidRDefault="004B417C">
            <w:pPr>
              <w:jc w:val="both"/>
              <w:rPr>
                <w:szCs w:val="22"/>
                <w:lang w:val="el-GR"/>
              </w:rPr>
            </w:pPr>
            <w:r>
              <w:rPr>
                <w:szCs w:val="22"/>
                <w:lang w:val="el-GR"/>
              </w:rPr>
              <w:t xml:space="preserve">Λοιπά </w:t>
            </w:r>
          </w:p>
        </w:tc>
        <w:tc>
          <w:tcPr>
            <w:tcW w:w="1024" w:type="dxa"/>
            <w:vAlign w:val="bottom"/>
          </w:tcPr>
          <w:p w:rsidR="004B417C" w:rsidRPr="000F4065" w:rsidRDefault="004B417C">
            <w:pPr>
              <w:jc w:val="right"/>
              <w:rPr>
                <w:szCs w:val="22"/>
                <w:lang w:val="el-GR"/>
              </w:rPr>
            </w:pPr>
            <w:r>
              <w:rPr>
                <w:szCs w:val="22"/>
              </w:rPr>
              <w:t>1.</w:t>
            </w:r>
            <w:r>
              <w:rPr>
                <w:szCs w:val="22"/>
                <w:lang w:val="el-GR"/>
              </w:rPr>
              <w:t>091</w:t>
            </w:r>
          </w:p>
        </w:tc>
        <w:tc>
          <w:tcPr>
            <w:tcW w:w="236" w:type="dxa"/>
            <w:vAlign w:val="bottom"/>
          </w:tcPr>
          <w:p w:rsidR="004B417C" w:rsidRDefault="004B417C">
            <w:pPr>
              <w:jc w:val="right"/>
              <w:rPr>
                <w:szCs w:val="22"/>
              </w:rPr>
            </w:pPr>
          </w:p>
        </w:tc>
        <w:tc>
          <w:tcPr>
            <w:tcW w:w="1069" w:type="dxa"/>
            <w:vAlign w:val="bottom"/>
          </w:tcPr>
          <w:p w:rsidR="004B417C" w:rsidRPr="00BF60B0" w:rsidRDefault="004B417C">
            <w:pPr>
              <w:jc w:val="right"/>
              <w:rPr>
                <w:szCs w:val="22"/>
              </w:rPr>
            </w:pPr>
            <w:r>
              <w:rPr>
                <w:szCs w:val="22"/>
              </w:rPr>
              <w:t>846</w:t>
            </w:r>
          </w:p>
        </w:tc>
      </w:tr>
      <w:tr w:rsidR="004B417C">
        <w:trPr>
          <w:trHeight w:hRule="exact" w:val="340"/>
        </w:trPr>
        <w:tc>
          <w:tcPr>
            <w:tcW w:w="5580" w:type="dxa"/>
            <w:vAlign w:val="bottom"/>
          </w:tcPr>
          <w:p w:rsidR="004B417C" w:rsidRDefault="004B417C">
            <w:pPr>
              <w:jc w:val="both"/>
              <w:rPr>
                <w:szCs w:val="22"/>
                <w:lang w:val="el-GR"/>
              </w:rPr>
            </w:pPr>
          </w:p>
        </w:tc>
        <w:tc>
          <w:tcPr>
            <w:tcW w:w="1024" w:type="dxa"/>
            <w:tcBorders>
              <w:top w:val="single" w:sz="4" w:space="0" w:color="auto"/>
              <w:bottom w:val="double" w:sz="4" w:space="0" w:color="auto"/>
            </w:tcBorders>
            <w:vAlign w:val="bottom"/>
          </w:tcPr>
          <w:p w:rsidR="004B417C" w:rsidRPr="006B29FB" w:rsidRDefault="004B417C" w:rsidP="002F06D0">
            <w:pPr>
              <w:jc w:val="right"/>
              <w:rPr>
                <w:b/>
                <w:szCs w:val="22"/>
                <w:lang w:val="el-GR"/>
              </w:rPr>
            </w:pPr>
            <w:r>
              <w:rPr>
                <w:b/>
                <w:szCs w:val="22"/>
                <w:lang w:val="el-GR"/>
              </w:rPr>
              <w:t>12.386</w:t>
            </w:r>
          </w:p>
        </w:tc>
        <w:tc>
          <w:tcPr>
            <w:tcW w:w="236" w:type="dxa"/>
            <w:vAlign w:val="bottom"/>
          </w:tcPr>
          <w:p w:rsidR="004B417C" w:rsidRDefault="004B417C">
            <w:pPr>
              <w:jc w:val="right"/>
              <w:rPr>
                <w:szCs w:val="22"/>
              </w:rPr>
            </w:pPr>
          </w:p>
        </w:tc>
        <w:tc>
          <w:tcPr>
            <w:tcW w:w="1069" w:type="dxa"/>
            <w:tcBorders>
              <w:top w:val="single" w:sz="4" w:space="0" w:color="auto"/>
              <w:bottom w:val="double" w:sz="4" w:space="0" w:color="auto"/>
            </w:tcBorders>
            <w:vAlign w:val="bottom"/>
          </w:tcPr>
          <w:p w:rsidR="004B417C" w:rsidRPr="00145298" w:rsidRDefault="004B417C" w:rsidP="002B6C2E">
            <w:pPr>
              <w:jc w:val="center"/>
              <w:rPr>
                <w:b/>
                <w:szCs w:val="22"/>
                <w:lang w:val="el-GR"/>
              </w:rPr>
            </w:pPr>
            <w:r>
              <w:rPr>
                <w:b/>
                <w:szCs w:val="22"/>
                <w:lang w:val="el-GR"/>
              </w:rPr>
              <w:t xml:space="preserve">      8.532</w:t>
            </w:r>
          </w:p>
        </w:tc>
      </w:tr>
    </w:tbl>
    <w:p w:rsidR="004B417C" w:rsidRPr="00FC7D9B" w:rsidRDefault="004B417C" w:rsidP="005027E5">
      <w:pPr>
        <w:pStyle w:val="Heading2"/>
        <w:ind w:left="539" w:hanging="539"/>
      </w:pPr>
      <w:bookmarkStart w:id="17" w:name="_Toc128477845"/>
      <w:r>
        <w:tab/>
      </w:r>
    </w:p>
    <w:p w:rsidR="004B417C" w:rsidRDefault="004B417C" w:rsidP="005027E5">
      <w:pPr>
        <w:pStyle w:val="Heading2"/>
        <w:ind w:left="539" w:hanging="539"/>
        <w:rPr>
          <w:lang w:val="el-GR"/>
        </w:rPr>
      </w:pPr>
      <w:r>
        <w:rPr>
          <w:lang w:val="el-GR"/>
        </w:rPr>
        <w:t>6.1</w:t>
      </w:r>
      <w:r>
        <w:rPr>
          <w:lang w:val="el-GR"/>
        </w:rPr>
        <w:tab/>
        <w:t>Αμοιβές και έξοδα προσωπικού</w:t>
      </w:r>
      <w:bookmarkEnd w:id="17"/>
    </w:p>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567"/>
        <w:jc w:val="both"/>
        <w:rPr>
          <w:highlight w:val="yellow"/>
          <w:lang w:val="el-GR"/>
        </w:rPr>
      </w:pPr>
    </w:p>
    <w:tbl>
      <w:tblPr>
        <w:tblpPr w:leftFromText="180" w:rightFromText="180" w:vertAnchor="text" w:tblpX="108" w:tblpY="1"/>
        <w:tblOverlap w:val="never"/>
        <w:tblW w:w="8028" w:type="dxa"/>
        <w:tblLayout w:type="fixed"/>
        <w:tblLook w:val="0000"/>
      </w:tblPr>
      <w:tblGrid>
        <w:gridCol w:w="5688"/>
        <w:gridCol w:w="1024"/>
        <w:gridCol w:w="236"/>
        <w:gridCol w:w="1080"/>
      </w:tblGrid>
      <w:tr w:rsidR="004B417C">
        <w:trPr>
          <w:trHeight w:hRule="exact" w:val="397"/>
        </w:trPr>
        <w:tc>
          <w:tcPr>
            <w:tcW w:w="5688" w:type="dxa"/>
            <w:vAlign w:val="center"/>
          </w:tcPr>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lang w:val="el-GR"/>
              </w:rPr>
            </w:pPr>
          </w:p>
        </w:tc>
        <w:tc>
          <w:tcPr>
            <w:tcW w:w="1024" w:type="dxa"/>
            <w:tcBorders>
              <w:bottom w:val="single" w:sz="4" w:space="0" w:color="auto"/>
            </w:tcBorders>
            <w:vAlign w:val="bottom"/>
          </w:tcPr>
          <w:p w:rsidR="004B417C" w:rsidRPr="0020307A" w:rsidRDefault="004B417C">
            <w:pPr>
              <w:jc w:val="right"/>
              <w:rPr>
                <w:b/>
                <w:bCs/>
                <w:szCs w:val="22"/>
              </w:rPr>
            </w:pPr>
            <w:r>
              <w:rPr>
                <w:b/>
                <w:bCs/>
                <w:szCs w:val="22"/>
                <w:lang w:val="el-GR"/>
              </w:rPr>
              <w:t>201</w:t>
            </w:r>
            <w:r>
              <w:rPr>
                <w:b/>
                <w:bCs/>
                <w:szCs w:val="22"/>
              </w:rPr>
              <w:t>2</w:t>
            </w:r>
          </w:p>
        </w:tc>
        <w:tc>
          <w:tcPr>
            <w:tcW w:w="236" w:type="dxa"/>
            <w:vAlign w:val="bottom"/>
          </w:tcPr>
          <w:p w:rsidR="004B417C" w:rsidRDefault="004B417C">
            <w:pPr>
              <w:jc w:val="right"/>
              <w:rPr>
                <w:b/>
                <w:bCs/>
                <w:szCs w:val="22"/>
              </w:rPr>
            </w:pPr>
          </w:p>
        </w:tc>
        <w:tc>
          <w:tcPr>
            <w:tcW w:w="1080" w:type="dxa"/>
            <w:tcBorders>
              <w:bottom w:val="single" w:sz="4" w:space="0" w:color="auto"/>
            </w:tcBorders>
            <w:vAlign w:val="bottom"/>
          </w:tcPr>
          <w:p w:rsidR="004B417C" w:rsidRPr="00BF60B0" w:rsidRDefault="004B417C">
            <w:pPr>
              <w:jc w:val="right"/>
              <w:rPr>
                <w:b/>
                <w:bCs/>
                <w:szCs w:val="22"/>
              </w:rPr>
            </w:pPr>
            <w:r>
              <w:rPr>
                <w:b/>
                <w:bCs/>
                <w:szCs w:val="22"/>
                <w:lang w:val="el-GR"/>
              </w:rPr>
              <w:t>201</w:t>
            </w:r>
            <w:r>
              <w:rPr>
                <w:b/>
                <w:bCs/>
                <w:szCs w:val="22"/>
              </w:rPr>
              <w:t>1</w:t>
            </w:r>
          </w:p>
        </w:tc>
      </w:tr>
      <w:tr w:rsidR="004B417C" w:rsidTr="002F3F45">
        <w:trPr>
          <w:trHeight w:hRule="exact" w:val="477"/>
        </w:trPr>
        <w:tc>
          <w:tcPr>
            <w:tcW w:w="5688" w:type="dxa"/>
            <w:vAlign w:val="center"/>
          </w:tcPr>
          <w:p w:rsidR="004B417C" w:rsidRPr="002F47C5"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both"/>
              <w:rPr>
                <w:lang w:val="el-GR"/>
              </w:rPr>
            </w:pPr>
            <w:r w:rsidRPr="002F47C5">
              <w:rPr>
                <w:lang w:val="el-GR"/>
              </w:rPr>
              <w:t>Αμοιβές έμμισθου προσωπικού</w:t>
            </w:r>
          </w:p>
        </w:tc>
        <w:tc>
          <w:tcPr>
            <w:tcW w:w="1024" w:type="dxa"/>
            <w:tcBorders>
              <w:top w:val="single" w:sz="4" w:space="0" w:color="auto"/>
            </w:tcBorders>
            <w:vAlign w:val="center"/>
          </w:tcPr>
          <w:p w:rsidR="004B417C" w:rsidRPr="00D04143" w:rsidRDefault="004B417C" w:rsidP="00E87CFD">
            <w:pPr>
              <w:spacing w:line="240" w:lineRule="auto"/>
            </w:pPr>
            <w:r>
              <w:rPr>
                <w:lang w:val="el-GR"/>
              </w:rPr>
              <w:t xml:space="preserve">     </w:t>
            </w:r>
            <w:r>
              <w:t>1.131</w:t>
            </w:r>
          </w:p>
        </w:tc>
        <w:tc>
          <w:tcPr>
            <w:tcW w:w="236" w:type="dxa"/>
            <w:vAlign w:val="center"/>
          </w:tcPr>
          <w:p w:rsidR="004B417C" w:rsidRDefault="004B417C">
            <w:pPr>
              <w:spacing w:line="240" w:lineRule="auto"/>
              <w:jc w:val="right"/>
              <w:rPr>
                <w:lang w:val="el-GR"/>
              </w:rPr>
            </w:pPr>
          </w:p>
        </w:tc>
        <w:tc>
          <w:tcPr>
            <w:tcW w:w="1080" w:type="dxa"/>
            <w:tcBorders>
              <w:top w:val="single" w:sz="4" w:space="0" w:color="auto"/>
            </w:tcBorders>
            <w:vAlign w:val="center"/>
          </w:tcPr>
          <w:p w:rsidR="004B417C" w:rsidRPr="00BF60B0" w:rsidRDefault="004B417C">
            <w:pPr>
              <w:spacing w:line="240" w:lineRule="auto"/>
              <w:jc w:val="right"/>
            </w:pPr>
            <w:r>
              <w:t>1.137</w:t>
            </w:r>
          </w:p>
        </w:tc>
      </w:tr>
      <w:tr w:rsidR="004B417C">
        <w:trPr>
          <w:trHeight w:hRule="exact" w:val="340"/>
        </w:trPr>
        <w:tc>
          <w:tcPr>
            <w:tcW w:w="5688" w:type="dxa"/>
          </w:tcPr>
          <w:p w:rsidR="004B417C" w:rsidRPr="002F47C5"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both"/>
              <w:rPr>
                <w:lang w:val="el-GR"/>
              </w:rPr>
            </w:pPr>
            <w:r w:rsidRPr="002F47C5">
              <w:rPr>
                <w:lang w:val="el-GR"/>
              </w:rPr>
              <w:t>Υποχρεωτικές εισφορές κοινωνικής ασφάλισης</w:t>
            </w:r>
          </w:p>
        </w:tc>
        <w:tc>
          <w:tcPr>
            <w:tcW w:w="1024" w:type="dxa"/>
            <w:vAlign w:val="center"/>
          </w:tcPr>
          <w:p w:rsidR="004B417C" w:rsidRPr="00D04143" w:rsidRDefault="004B417C">
            <w:pPr>
              <w:spacing w:line="240" w:lineRule="auto"/>
              <w:jc w:val="right"/>
            </w:pPr>
            <w:r>
              <w:rPr>
                <w:lang w:val="el-GR"/>
              </w:rPr>
              <w:t>284</w:t>
            </w:r>
          </w:p>
        </w:tc>
        <w:tc>
          <w:tcPr>
            <w:tcW w:w="236" w:type="dxa"/>
            <w:vAlign w:val="center"/>
          </w:tcPr>
          <w:p w:rsidR="004B417C" w:rsidRDefault="004B417C">
            <w:pPr>
              <w:spacing w:line="240" w:lineRule="auto"/>
              <w:jc w:val="right"/>
              <w:rPr>
                <w:lang w:val="el-GR"/>
              </w:rPr>
            </w:pPr>
          </w:p>
        </w:tc>
        <w:tc>
          <w:tcPr>
            <w:tcW w:w="1080" w:type="dxa"/>
            <w:vAlign w:val="center"/>
          </w:tcPr>
          <w:p w:rsidR="004B417C" w:rsidRPr="00BF60B0" w:rsidRDefault="004B417C" w:rsidP="002B6C2E">
            <w:pPr>
              <w:spacing w:line="240" w:lineRule="auto"/>
            </w:pPr>
            <w:r>
              <w:rPr>
                <w:lang w:val="el-GR"/>
              </w:rPr>
              <w:t xml:space="preserve">         </w:t>
            </w:r>
            <w:r>
              <w:t>287</w:t>
            </w:r>
          </w:p>
        </w:tc>
      </w:tr>
      <w:tr w:rsidR="004B417C" w:rsidTr="00E0314D">
        <w:trPr>
          <w:trHeight w:hRule="exact" w:val="340"/>
        </w:trPr>
        <w:tc>
          <w:tcPr>
            <w:tcW w:w="5688" w:type="dxa"/>
          </w:tcPr>
          <w:p w:rsidR="004B417C" w:rsidRPr="002F47C5"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both"/>
              <w:rPr>
                <w:lang w:val="el-GR"/>
              </w:rPr>
            </w:pPr>
            <w:r w:rsidRPr="002F47C5">
              <w:rPr>
                <w:lang w:val="el-GR"/>
              </w:rPr>
              <w:t>Πρόβλεψη κόστους αποζημίωσης προσωπικού</w:t>
            </w:r>
          </w:p>
        </w:tc>
        <w:tc>
          <w:tcPr>
            <w:tcW w:w="1024" w:type="dxa"/>
            <w:vAlign w:val="center"/>
          </w:tcPr>
          <w:p w:rsidR="004B417C" w:rsidRPr="004634B1" w:rsidRDefault="004B417C">
            <w:pPr>
              <w:spacing w:line="240" w:lineRule="auto"/>
              <w:jc w:val="right"/>
              <w:rPr>
                <w:lang w:val="el-GR"/>
              </w:rPr>
            </w:pPr>
            <w:r>
              <w:rPr>
                <w:lang w:val="el-GR"/>
              </w:rPr>
              <w:t>72</w:t>
            </w:r>
          </w:p>
        </w:tc>
        <w:tc>
          <w:tcPr>
            <w:tcW w:w="236" w:type="dxa"/>
            <w:vAlign w:val="center"/>
          </w:tcPr>
          <w:p w:rsidR="004B417C" w:rsidRDefault="004B417C">
            <w:pPr>
              <w:spacing w:line="240" w:lineRule="auto"/>
              <w:jc w:val="right"/>
              <w:rPr>
                <w:lang w:val="el-GR"/>
              </w:rPr>
            </w:pPr>
          </w:p>
        </w:tc>
        <w:tc>
          <w:tcPr>
            <w:tcW w:w="1080" w:type="dxa"/>
            <w:vAlign w:val="center"/>
          </w:tcPr>
          <w:p w:rsidR="004B417C" w:rsidRPr="004634B1" w:rsidRDefault="004B417C" w:rsidP="00E87CFD">
            <w:pPr>
              <w:spacing w:line="240" w:lineRule="auto"/>
              <w:jc w:val="center"/>
              <w:rPr>
                <w:lang w:val="el-GR"/>
              </w:rPr>
            </w:pPr>
            <w:r>
              <w:rPr>
                <w:lang w:val="el-GR"/>
              </w:rPr>
              <w:t xml:space="preserve">       282</w:t>
            </w:r>
          </w:p>
        </w:tc>
      </w:tr>
      <w:tr w:rsidR="004B417C" w:rsidTr="00E0314D">
        <w:trPr>
          <w:trHeight w:hRule="exact" w:val="340"/>
        </w:trPr>
        <w:tc>
          <w:tcPr>
            <w:tcW w:w="5688" w:type="dxa"/>
            <w:vAlign w:val="center"/>
          </w:tcPr>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both"/>
              <w:rPr>
                <w:lang w:val="el-GR"/>
              </w:rPr>
            </w:pPr>
          </w:p>
        </w:tc>
        <w:tc>
          <w:tcPr>
            <w:tcW w:w="1024" w:type="dxa"/>
            <w:tcBorders>
              <w:top w:val="single" w:sz="4" w:space="0" w:color="auto"/>
              <w:bottom w:val="double" w:sz="4" w:space="0" w:color="auto"/>
            </w:tcBorders>
            <w:vAlign w:val="center"/>
          </w:tcPr>
          <w:p w:rsidR="004B417C" w:rsidRPr="009274E9" w:rsidRDefault="004B417C">
            <w:pPr>
              <w:spacing w:line="240" w:lineRule="auto"/>
              <w:jc w:val="right"/>
              <w:rPr>
                <w:b/>
                <w:bCs/>
                <w:lang w:val="el-GR"/>
              </w:rPr>
            </w:pPr>
            <w:r>
              <w:rPr>
                <w:b/>
                <w:bCs/>
              </w:rPr>
              <w:t>1.4</w:t>
            </w:r>
            <w:r>
              <w:rPr>
                <w:b/>
                <w:bCs/>
                <w:lang w:val="el-GR"/>
              </w:rPr>
              <w:t>87</w:t>
            </w:r>
          </w:p>
        </w:tc>
        <w:tc>
          <w:tcPr>
            <w:tcW w:w="236" w:type="dxa"/>
            <w:tcBorders>
              <w:top w:val="single" w:sz="4" w:space="0" w:color="auto"/>
            </w:tcBorders>
            <w:vAlign w:val="center"/>
          </w:tcPr>
          <w:p w:rsidR="004B417C" w:rsidRDefault="004B417C">
            <w:pPr>
              <w:spacing w:line="240" w:lineRule="auto"/>
              <w:jc w:val="right"/>
              <w:rPr>
                <w:b/>
                <w:bCs/>
                <w:lang w:val="el-GR"/>
              </w:rPr>
            </w:pPr>
          </w:p>
        </w:tc>
        <w:tc>
          <w:tcPr>
            <w:tcW w:w="1080" w:type="dxa"/>
            <w:tcBorders>
              <w:top w:val="single" w:sz="4" w:space="0" w:color="auto"/>
              <w:bottom w:val="double" w:sz="4" w:space="0" w:color="auto"/>
            </w:tcBorders>
            <w:vAlign w:val="center"/>
          </w:tcPr>
          <w:p w:rsidR="004B417C" w:rsidRPr="003E05FF" w:rsidRDefault="004B417C">
            <w:pPr>
              <w:spacing w:line="240" w:lineRule="auto"/>
              <w:jc w:val="right"/>
              <w:rPr>
                <w:b/>
                <w:bCs/>
                <w:lang w:val="el-GR"/>
              </w:rPr>
            </w:pPr>
            <w:r>
              <w:rPr>
                <w:b/>
                <w:bCs/>
              </w:rPr>
              <w:t>1.</w:t>
            </w:r>
            <w:r>
              <w:rPr>
                <w:b/>
                <w:bCs/>
                <w:lang w:val="el-GR"/>
              </w:rPr>
              <w:t>706</w:t>
            </w:r>
          </w:p>
        </w:tc>
      </w:tr>
    </w:tbl>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rPr>
          <w:lang w:val="el-GR"/>
        </w:rPr>
      </w:pPr>
    </w:p>
    <w:p w:rsidR="004B417C" w:rsidRDefault="004B417C" w:rsidP="00CC12F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rPr>
          <w:lang w:val="el-GR"/>
        </w:rPr>
      </w:pPr>
      <w:r>
        <w:rPr>
          <w:lang w:val="el-GR"/>
        </w:rPr>
        <w:t>Το απασχολούμενου προσωπικού κατά την 31/12/201</w:t>
      </w:r>
      <w:r w:rsidRPr="007F63DF">
        <w:rPr>
          <w:lang w:val="el-GR"/>
        </w:rPr>
        <w:t>2</w:t>
      </w:r>
      <w:r>
        <w:rPr>
          <w:lang w:val="el-GR"/>
        </w:rPr>
        <w:t xml:space="preserve"> ανήρχετο σε </w:t>
      </w:r>
      <w:r w:rsidRPr="0044556F">
        <w:rPr>
          <w:lang w:val="el-GR"/>
        </w:rPr>
        <w:t>4</w:t>
      </w:r>
      <w:r w:rsidRPr="007F63DF">
        <w:rPr>
          <w:lang w:val="el-GR"/>
        </w:rPr>
        <w:t>1</w:t>
      </w:r>
      <w:r>
        <w:rPr>
          <w:lang w:val="el-GR"/>
        </w:rPr>
        <w:t xml:space="preserve"> άτομα </w:t>
      </w:r>
    </w:p>
    <w:p w:rsidR="004B417C" w:rsidRPr="00075FE0" w:rsidRDefault="004B417C" w:rsidP="00CC12F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rPr>
          <w:lang w:val="el-GR"/>
        </w:rPr>
      </w:pPr>
      <w:r>
        <w:rPr>
          <w:lang w:val="el-GR"/>
        </w:rPr>
        <w:t>(201</w:t>
      </w:r>
      <w:r w:rsidRPr="00161AC8">
        <w:rPr>
          <w:lang w:val="el-GR"/>
        </w:rPr>
        <w:t>1</w:t>
      </w:r>
      <w:r>
        <w:rPr>
          <w:lang w:val="el-GR"/>
        </w:rPr>
        <w:t>: 4</w:t>
      </w:r>
      <w:r w:rsidRPr="00161AC8">
        <w:rPr>
          <w:lang w:val="el-GR"/>
        </w:rPr>
        <w:t>3</w:t>
      </w:r>
      <w:r>
        <w:rPr>
          <w:lang w:val="el-GR"/>
        </w:rPr>
        <w:t xml:space="preserve"> άτομα).</w:t>
      </w:r>
    </w:p>
    <w:p w:rsidR="004B417C" w:rsidRPr="007F63DF"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b/>
          <w:szCs w:val="22"/>
          <w:lang w:val="el-GR"/>
        </w:rPr>
      </w:pPr>
      <w:bookmarkStart w:id="18" w:name="_Toc128477839"/>
    </w:p>
    <w:p w:rsidR="004B417C" w:rsidRDefault="004B417C" w:rsidP="00AC2D11">
      <w:pPr>
        <w:pStyle w:val="Heading1"/>
        <w:keepLines/>
        <w:numPr>
          <w:ilvl w:val="0"/>
          <w:numId w:val="32"/>
        </w:numPr>
        <w:shd w:val="clear" w:color="auto" w:fill="auto"/>
        <w:spacing w:before="130" w:line="280" w:lineRule="atLeast"/>
        <w:ind w:left="357" w:hanging="357"/>
        <w:rPr>
          <w:szCs w:val="22"/>
          <w:lang w:val="el-GR"/>
        </w:rPr>
      </w:pPr>
      <w:r>
        <w:rPr>
          <w:szCs w:val="22"/>
          <w:lang w:val="el-GR"/>
        </w:rPr>
        <w:t>Φόρος εισοδήματος</w:t>
      </w:r>
      <w:bookmarkEnd w:id="18"/>
    </w:p>
    <w:p w:rsidR="004B417C" w:rsidRDefault="004B417C">
      <w:pPr>
        <w:rPr>
          <w:lang w:val="el-GR"/>
        </w:rPr>
      </w:pPr>
    </w:p>
    <w:tbl>
      <w:tblPr>
        <w:tblpPr w:leftFromText="180" w:rightFromText="180" w:vertAnchor="text" w:tblpX="108" w:tblpY="1"/>
        <w:tblOverlap w:val="never"/>
        <w:tblW w:w="8028" w:type="dxa"/>
        <w:tblLayout w:type="fixed"/>
        <w:tblLook w:val="0000"/>
      </w:tblPr>
      <w:tblGrid>
        <w:gridCol w:w="5688"/>
        <w:gridCol w:w="1024"/>
        <w:gridCol w:w="236"/>
        <w:gridCol w:w="1080"/>
      </w:tblGrid>
      <w:tr w:rsidR="004B417C" w:rsidRPr="00A57F38" w:rsidTr="00760DEF">
        <w:trPr>
          <w:trHeight w:hRule="exact" w:val="397"/>
        </w:trPr>
        <w:tc>
          <w:tcPr>
            <w:tcW w:w="5688" w:type="dxa"/>
            <w:vAlign w:val="center"/>
          </w:tcPr>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lang w:val="el-GR"/>
              </w:rPr>
            </w:pPr>
          </w:p>
        </w:tc>
        <w:tc>
          <w:tcPr>
            <w:tcW w:w="1024" w:type="dxa"/>
            <w:tcBorders>
              <w:bottom w:val="single" w:sz="4" w:space="0" w:color="auto"/>
            </w:tcBorders>
            <w:vAlign w:val="bottom"/>
          </w:tcPr>
          <w:p w:rsidR="004B417C" w:rsidRPr="00300A51" w:rsidRDefault="004B417C">
            <w:pPr>
              <w:jc w:val="right"/>
              <w:rPr>
                <w:b/>
                <w:bCs/>
                <w:szCs w:val="22"/>
                <w:lang w:val="el-GR"/>
              </w:rPr>
            </w:pPr>
            <w:r>
              <w:rPr>
                <w:b/>
                <w:bCs/>
                <w:szCs w:val="22"/>
                <w:lang w:val="el-GR"/>
              </w:rPr>
              <w:t>2012</w:t>
            </w:r>
          </w:p>
        </w:tc>
        <w:tc>
          <w:tcPr>
            <w:tcW w:w="236" w:type="dxa"/>
            <w:vAlign w:val="bottom"/>
          </w:tcPr>
          <w:p w:rsidR="004B417C" w:rsidRPr="00A57F38" w:rsidRDefault="004B417C">
            <w:pPr>
              <w:jc w:val="right"/>
              <w:rPr>
                <w:b/>
                <w:bCs/>
                <w:szCs w:val="22"/>
                <w:lang w:val="el-GR"/>
              </w:rPr>
            </w:pPr>
          </w:p>
        </w:tc>
        <w:tc>
          <w:tcPr>
            <w:tcW w:w="1080" w:type="dxa"/>
            <w:tcBorders>
              <w:bottom w:val="single" w:sz="4" w:space="0" w:color="auto"/>
            </w:tcBorders>
            <w:vAlign w:val="bottom"/>
          </w:tcPr>
          <w:p w:rsidR="004B417C" w:rsidRPr="00A57F38" w:rsidRDefault="004B417C">
            <w:pPr>
              <w:jc w:val="right"/>
              <w:rPr>
                <w:b/>
                <w:bCs/>
                <w:szCs w:val="22"/>
                <w:lang w:val="el-GR"/>
              </w:rPr>
            </w:pPr>
            <w:r>
              <w:rPr>
                <w:b/>
                <w:bCs/>
                <w:szCs w:val="22"/>
                <w:lang w:val="el-GR"/>
              </w:rPr>
              <w:t>2011</w:t>
            </w:r>
          </w:p>
        </w:tc>
      </w:tr>
      <w:tr w:rsidR="004B417C" w:rsidRPr="00A57F38" w:rsidTr="004B2E73">
        <w:trPr>
          <w:trHeight w:hRule="exact" w:val="453"/>
        </w:trPr>
        <w:tc>
          <w:tcPr>
            <w:tcW w:w="5688" w:type="dxa"/>
          </w:tcPr>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both"/>
              <w:rPr>
                <w:lang w:val="el-GR"/>
              </w:rPr>
            </w:pPr>
            <w:r>
              <w:rPr>
                <w:szCs w:val="22"/>
                <w:lang w:val="el-GR"/>
              </w:rPr>
              <w:t>Διαγραφή αναβαλλόμενου φόρου</w:t>
            </w:r>
          </w:p>
        </w:tc>
        <w:tc>
          <w:tcPr>
            <w:tcW w:w="1024" w:type="dxa"/>
            <w:tcBorders>
              <w:top w:val="single" w:sz="4" w:space="0" w:color="auto"/>
              <w:bottom w:val="single" w:sz="4" w:space="0" w:color="auto"/>
            </w:tcBorders>
            <w:vAlign w:val="center"/>
          </w:tcPr>
          <w:p w:rsidR="004B417C" w:rsidRPr="006523C7" w:rsidRDefault="004B417C">
            <w:pPr>
              <w:spacing w:line="240" w:lineRule="auto"/>
              <w:jc w:val="right"/>
              <w:rPr>
                <w:lang w:val="el-GR"/>
              </w:rPr>
            </w:pPr>
            <w:r>
              <w:rPr>
                <w:lang w:val="el-GR"/>
              </w:rPr>
              <w:t>-</w:t>
            </w:r>
          </w:p>
        </w:tc>
        <w:tc>
          <w:tcPr>
            <w:tcW w:w="236" w:type="dxa"/>
            <w:vAlign w:val="center"/>
          </w:tcPr>
          <w:p w:rsidR="004B417C" w:rsidRDefault="004B417C">
            <w:pPr>
              <w:spacing w:line="240" w:lineRule="auto"/>
              <w:jc w:val="right"/>
              <w:rPr>
                <w:lang w:val="el-GR"/>
              </w:rPr>
            </w:pPr>
          </w:p>
        </w:tc>
        <w:tc>
          <w:tcPr>
            <w:tcW w:w="1080" w:type="dxa"/>
            <w:tcBorders>
              <w:top w:val="single" w:sz="4" w:space="0" w:color="auto"/>
              <w:bottom w:val="single" w:sz="4" w:space="0" w:color="auto"/>
            </w:tcBorders>
            <w:vAlign w:val="center"/>
          </w:tcPr>
          <w:p w:rsidR="004B417C" w:rsidRDefault="004B417C">
            <w:pPr>
              <w:spacing w:line="240" w:lineRule="auto"/>
              <w:jc w:val="right"/>
              <w:rPr>
                <w:lang w:val="el-GR"/>
              </w:rPr>
            </w:pPr>
            <w:r>
              <w:rPr>
                <w:lang w:val="el-GR"/>
              </w:rPr>
              <w:t>(3.028)</w:t>
            </w:r>
          </w:p>
        </w:tc>
      </w:tr>
    </w:tbl>
    <w:p w:rsidR="004B417C" w:rsidRDefault="004B417C">
      <w:pPr>
        <w:rPr>
          <w:lang w:val="el-GR"/>
        </w:rPr>
      </w:pPr>
    </w:p>
    <w:p w:rsidR="004B417C" w:rsidRDefault="004B417C">
      <w:pPr>
        <w:rPr>
          <w:lang w:val="el-GR"/>
        </w:rPr>
      </w:pPr>
    </w:p>
    <w:p w:rsidR="004B417C" w:rsidRPr="00C016AC" w:rsidRDefault="004B417C" w:rsidP="00C016A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22"/>
          <w:lang w:val="el-GR"/>
        </w:rPr>
      </w:pPr>
      <w:r w:rsidRPr="00C016AC">
        <w:rPr>
          <w:szCs w:val="22"/>
          <w:lang w:val="el-GR"/>
        </w:rPr>
        <w:t>Σύμφωνα με το ισχύον φορολογικό δίκαιο στην Ελλάδα, οι ανώνυμες εταιρείες για τη χρήση του 2012 φορολογούνται με συντελεστή 20%. Βάσει του νέου φορολογικού νόμου (έτους 2013) αναμένεται μεταβολή του φορολογικού συντελεστή των ανωνύμων εταιρ</w:t>
      </w:r>
      <w:r w:rsidR="004A08A1">
        <w:rPr>
          <w:szCs w:val="22"/>
          <w:lang w:val="el-GR"/>
        </w:rPr>
        <w:t>ε</w:t>
      </w:r>
      <w:r w:rsidRPr="00C016AC">
        <w:rPr>
          <w:szCs w:val="22"/>
          <w:lang w:val="el-GR"/>
        </w:rPr>
        <w:t xml:space="preserve">ιών σε 26% για εισοδήματα από 01/01/2013 και μετά. </w:t>
      </w:r>
    </w:p>
    <w:p w:rsidR="004B417C" w:rsidRPr="00C016AC" w:rsidRDefault="004B417C" w:rsidP="00C016A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22"/>
          <w:lang w:val="el-GR"/>
        </w:rPr>
      </w:pPr>
    </w:p>
    <w:p w:rsidR="004B417C" w:rsidRDefault="004B417C" w:rsidP="00C016A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22"/>
          <w:lang w:val="el-GR"/>
        </w:rPr>
      </w:pPr>
      <w:r w:rsidRPr="00C016AC">
        <w:rPr>
          <w:szCs w:val="22"/>
          <w:lang w:val="el-GR"/>
        </w:rPr>
        <w:t>Η Εταιρεία υπόκειται σε φόρο εισοδήματος σύμφωνα με την ισχύουσα φορολογική νομοθεσία στην Ελλάδα. Οι φορολογικές υποχρεώσεις του Ομίλου θα θεωρηθούν ως οριστικές μόνο μετά τη διενέργεια ελέγχου από τις φορολογικές αρχές.</w:t>
      </w:r>
    </w:p>
    <w:p w:rsidR="004B417C" w:rsidRPr="00C016AC" w:rsidRDefault="004B417C" w:rsidP="00C016A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22"/>
          <w:lang w:val="el-GR"/>
        </w:rPr>
      </w:pPr>
    </w:p>
    <w:p w:rsidR="004B417C" w:rsidRDefault="004B417C" w:rsidP="00C016A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22"/>
          <w:lang w:val="el-GR"/>
        </w:rPr>
      </w:pPr>
      <w:r w:rsidRPr="00C016AC">
        <w:rPr>
          <w:szCs w:val="22"/>
          <w:lang w:val="el-GR"/>
        </w:rPr>
        <w:lastRenderedPageBreak/>
        <w:t xml:space="preserve">Λόγω της μεθόδου βάσει της οποίας οι φορολογικές υποχρεώσεις οριστικοποιούνται στην Ελλάδα, η Εταιρεία παραμένει ενδεχόμενα υπόχρεη σε πρόσθετους φόρους και ποινές για τις ανέλεγκτες φορολογικά </w:t>
      </w:r>
      <w:r>
        <w:rPr>
          <w:szCs w:val="22"/>
          <w:lang w:val="el-GR"/>
        </w:rPr>
        <w:t>χρήσεις 2008-2011</w:t>
      </w:r>
      <w:r w:rsidRPr="00C016AC">
        <w:rPr>
          <w:szCs w:val="22"/>
          <w:lang w:val="el-GR"/>
        </w:rPr>
        <w:t>. Οι διαφορές που πιθανόν να προκύψουν από το φορολογικό έλεγχο των ανέλεγκτων χρήσεων θα λογιστικοποιηθούν στη χρήση που θα προκύψουν.</w:t>
      </w:r>
      <w:r>
        <w:rPr>
          <w:szCs w:val="22"/>
          <w:lang w:val="el-GR"/>
        </w:rPr>
        <w:t xml:space="preserve"> </w:t>
      </w:r>
      <w:r w:rsidRPr="00C016AC">
        <w:rPr>
          <w:szCs w:val="22"/>
          <w:lang w:val="el-GR"/>
        </w:rPr>
        <w:t>Η Εταιρεία έχει διενεργήσει βάσει ιστορικών στοιχείων σχετική πρόβλεψη.</w:t>
      </w:r>
      <w:r>
        <w:rPr>
          <w:szCs w:val="22"/>
          <w:lang w:val="el-GR"/>
        </w:rPr>
        <w:t xml:space="preserve"> </w:t>
      </w:r>
    </w:p>
    <w:p w:rsidR="004B417C" w:rsidRDefault="004B417C" w:rsidP="00C016A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22"/>
          <w:lang w:val="el-GR"/>
        </w:rPr>
      </w:pPr>
    </w:p>
    <w:p w:rsidR="004B417C" w:rsidRPr="00C016AC" w:rsidRDefault="004B417C" w:rsidP="00C016A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22"/>
          <w:lang w:val="el-GR"/>
        </w:rPr>
      </w:pPr>
      <w:r w:rsidRPr="00C016AC">
        <w:rPr>
          <w:szCs w:val="22"/>
          <w:lang w:val="el-GR"/>
        </w:rPr>
        <w:t xml:space="preserve">Βάσει της παρ. 5 του άρθρου 82 του Ν.2238/1994, όπως διευκρινίστηκε με την ΠΟΛ. 1159/2011, από τη χρήση 2011 και εφεξής, οι Νόμιμοι Ελεγκτές και τα ελεγκτικά γραφεία που είναι εγγεγραμμένα στο δημόσιο Μητρώο του Ν. 3693/2008 εκδίδουν μετά το φορολογικό έλεγχο που διενεργούν στις ανώνυμες εταιρείες, των οποίων οι ετήσιες οικονομικές καταστάσεις ελέγχονται υποχρεωτικά από Νόμιμους Ελεγκτές και ελεγκτικά γραφεία, το Ετήσιο Φορολογικό Πιστοποιητικό που προβλέπεται. </w:t>
      </w:r>
    </w:p>
    <w:p w:rsidR="004B417C" w:rsidRDefault="004B417C" w:rsidP="002641C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rPr>
          <w:rFonts w:ascii="Tahoma" w:hAnsi="Tahoma" w:cs="Tahoma"/>
          <w:sz w:val="20"/>
          <w:lang w:val="el-GR"/>
        </w:rPr>
      </w:pPr>
    </w:p>
    <w:p w:rsidR="004B417C" w:rsidRPr="00BC2745" w:rsidRDefault="004B417C" w:rsidP="00BC2745">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22"/>
          <w:lang w:val="el-GR"/>
        </w:rPr>
      </w:pPr>
      <w:r w:rsidRPr="00BC2745">
        <w:rPr>
          <w:szCs w:val="22"/>
          <w:lang w:val="el-GR"/>
        </w:rPr>
        <w:t>Το Ετήσιο Φορολογικό Πιστοποιητικό διακρίνεται στην Έκθεση Φορολογικής Συμμόρφωσης και στο Προσάρτημα των αναλυτικών πληροφοριακών στοιχείων.</w:t>
      </w:r>
    </w:p>
    <w:p w:rsidR="004B417C" w:rsidRPr="00BC2745" w:rsidRDefault="004B417C" w:rsidP="00BC2745">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22"/>
          <w:lang w:val="el-GR"/>
        </w:rPr>
      </w:pPr>
    </w:p>
    <w:p w:rsidR="004B417C" w:rsidRPr="00BC2745" w:rsidRDefault="004B417C" w:rsidP="00BC2745">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22"/>
          <w:lang w:val="el-GR"/>
        </w:rPr>
      </w:pPr>
      <w:r w:rsidRPr="00BC2745">
        <w:rPr>
          <w:szCs w:val="22"/>
          <w:lang w:val="el-GR"/>
        </w:rPr>
        <w:t>Η Έκθεση Φορολογικής Συμμόρφωσ</w:t>
      </w:r>
      <w:r>
        <w:rPr>
          <w:szCs w:val="22"/>
          <w:lang w:val="el-GR"/>
        </w:rPr>
        <w:t>ης υποβάλλεται στην ελεγχόμενη Ε</w:t>
      </w:r>
      <w:r w:rsidRPr="00BC2745">
        <w:rPr>
          <w:szCs w:val="22"/>
          <w:lang w:val="el-GR"/>
        </w:rPr>
        <w:t>ταιρεία το αργότερο δέκα ημέρες μετά την υποβολή της δήλωσης φόρου εισοδήματος και ηλεκτρονικά στο Υπουργείο Οικονομικών εντός δέκα ημερών από την έγκριση του Ισολογισμού της επιχείρησης από τη Γενική Συνέλευση των μετόχων.</w:t>
      </w:r>
    </w:p>
    <w:p w:rsidR="004B417C" w:rsidRPr="00BC2745" w:rsidRDefault="004B417C" w:rsidP="00BC2745">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22"/>
          <w:lang w:val="el-GR"/>
        </w:rPr>
      </w:pPr>
    </w:p>
    <w:p w:rsidR="004B417C" w:rsidRPr="00BC2745" w:rsidRDefault="004B417C" w:rsidP="00BC2745">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22"/>
          <w:lang w:val="el-GR"/>
        </w:rPr>
      </w:pPr>
      <w:r w:rsidRPr="00BC2745">
        <w:rPr>
          <w:szCs w:val="22"/>
          <w:lang w:val="el-GR"/>
        </w:rPr>
        <w:t>Από τις εταιρείες που ελέγχονται από Νόμιμους Ελεγκτές και τα ελεγκτικά γραφεία για τη φορολογική τους συμμόρφωση, επιλέγεται δείγμα τουλάχιστον της τάξης του 9% για έλεγχο. Οι έλεγχοι αυτοί διενεργούνται από τις αρμόδιες ελεγκτικές υπηρεσίες και ολοκληρώνονται σε διάστημα όχι αργότερο των δεκαοχτώ μηνών από την προθεσμία υποβολής από τους Νόμιμους Ελεγκτές και τα ελεγκτικά γραφεία της Έκθεσης Φορολογικής Συμμόρφωσης στη βάση δεδομένων της Γ.Γ.Π.Σ.</w:t>
      </w:r>
    </w:p>
    <w:p w:rsidR="004B417C" w:rsidRPr="002641CA" w:rsidRDefault="004B417C" w:rsidP="002641C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rPr>
          <w:rFonts w:ascii="Tahoma" w:hAnsi="Tahoma" w:cs="Tahoma"/>
          <w:sz w:val="20"/>
          <w:lang w:val="el-GR"/>
        </w:rPr>
      </w:pPr>
    </w:p>
    <w:p w:rsidR="004B417C" w:rsidRPr="006B1B03" w:rsidRDefault="004B417C" w:rsidP="00AC2D11">
      <w:pPr>
        <w:pStyle w:val="Heading1"/>
        <w:keepLines/>
        <w:numPr>
          <w:ilvl w:val="0"/>
          <w:numId w:val="32"/>
        </w:numPr>
        <w:shd w:val="clear" w:color="auto" w:fill="auto"/>
        <w:spacing w:before="130" w:line="280" w:lineRule="atLeast"/>
        <w:ind w:left="357" w:hanging="357"/>
        <w:rPr>
          <w:szCs w:val="22"/>
          <w:lang w:val="el-GR"/>
        </w:rPr>
      </w:pPr>
      <w:bookmarkStart w:id="19" w:name="_Toc128477828"/>
      <w:r w:rsidRPr="006B1B03">
        <w:rPr>
          <w:szCs w:val="22"/>
          <w:lang w:val="el-GR"/>
        </w:rPr>
        <w:t>Χρηματικά διαθέσιμα</w:t>
      </w:r>
      <w:bookmarkEnd w:id="19"/>
    </w:p>
    <w:p w:rsidR="004B417C" w:rsidRDefault="004B417C">
      <w:pPr>
        <w:rPr>
          <w:lang w:val="el-GR"/>
        </w:rPr>
      </w:pPr>
    </w:p>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17"/>
          <w:lang w:val="el-GR"/>
        </w:rPr>
      </w:pPr>
      <w:r>
        <w:rPr>
          <w:szCs w:val="17"/>
          <w:lang w:val="el-GR"/>
        </w:rPr>
        <w:t>Τα διαθέσιμα της Εταιρείας αναλύονται ως εξής:</w:t>
      </w:r>
    </w:p>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17"/>
          <w:lang w:val="el-GR"/>
        </w:rPr>
      </w:pPr>
    </w:p>
    <w:tbl>
      <w:tblPr>
        <w:tblW w:w="7920" w:type="dxa"/>
        <w:tblInd w:w="108" w:type="dxa"/>
        <w:tblLayout w:type="fixed"/>
        <w:tblLook w:val="0000"/>
      </w:tblPr>
      <w:tblGrid>
        <w:gridCol w:w="5580"/>
        <w:gridCol w:w="1024"/>
        <w:gridCol w:w="236"/>
        <w:gridCol w:w="1080"/>
      </w:tblGrid>
      <w:tr w:rsidR="004B417C">
        <w:trPr>
          <w:trHeight w:hRule="exact" w:val="397"/>
        </w:trPr>
        <w:tc>
          <w:tcPr>
            <w:tcW w:w="5580" w:type="dxa"/>
            <w:vAlign w:val="center"/>
          </w:tcPr>
          <w:p w:rsidR="004B417C" w:rsidRDefault="004B417C">
            <w:pPr>
              <w:spacing w:line="240" w:lineRule="auto"/>
              <w:jc w:val="both"/>
              <w:rPr>
                <w:lang w:val="el-GR"/>
              </w:rPr>
            </w:pPr>
            <w:bookmarkStart w:id="20" w:name="OLE_LINK1"/>
          </w:p>
        </w:tc>
        <w:tc>
          <w:tcPr>
            <w:tcW w:w="1024" w:type="dxa"/>
            <w:tcBorders>
              <w:bottom w:val="single" w:sz="2" w:space="0" w:color="auto"/>
            </w:tcBorders>
            <w:vAlign w:val="center"/>
          </w:tcPr>
          <w:p w:rsidR="004B417C" w:rsidRDefault="004B417C">
            <w:pPr>
              <w:spacing w:line="240" w:lineRule="auto"/>
              <w:jc w:val="right"/>
              <w:rPr>
                <w:b/>
                <w:lang w:val="el-GR"/>
              </w:rPr>
            </w:pPr>
            <w:r>
              <w:rPr>
                <w:b/>
                <w:lang w:val="el-GR"/>
              </w:rPr>
              <w:t>2012</w:t>
            </w:r>
          </w:p>
        </w:tc>
        <w:tc>
          <w:tcPr>
            <w:tcW w:w="236" w:type="dxa"/>
            <w:vAlign w:val="center"/>
          </w:tcPr>
          <w:p w:rsidR="004B417C" w:rsidRDefault="004B417C">
            <w:pPr>
              <w:spacing w:line="240" w:lineRule="auto"/>
              <w:jc w:val="right"/>
              <w:rPr>
                <w:b/>
                <w:lang w:val="el-GR"/>
              </w:rPr>
            </w:pPr>
          </w:p>
        </w:tc>
        <w:tc>
          <w:tcPr>
            <w:tcW w:w="1080" w:type="dxa"/>
            <w:tcBorders>
              <w:bottom w:val="single" w:sz="2" w:space="0" w:color="auto"/>
            </w:tcBorders>
            <w:vAlign w:val="center"/>
          </w:tcPr>
          <w:p w:rsidR="004B417C" w:rsidRDefault="004B417C">
            <w:pPr>
              <w:spacing w:line="240" w:lineRule="auto"/>
              <w:jc w:val="right"/>
              <w:rPr>
                <w:b/>
                <w:lang w:val="el-GR"/>
              </w:rPr>
            </w:pPr>
            <w:r>
              <w:rPr>
                <w:b/>
                <w:lang w:val="el-GR"/>
              </w:rPr>
              <w:t>2011</w:t>
            </w:r>
          </w:p>
        </w:tc>
      </w:tr>
      <w:tr w:rsidR="004B417C">
        <w:trPr>
          <w:trHeight w:hRule="exact" w:val="340"/>
        </w:trPr>
        <w:tc>
          <w:tcPr>
            <w:tcW w:w="5580" w:type="dxa"/>
            <w:vAlign w:val="center"/>
          </w:tcPr>
          <w:p w:rsidR="004B417C" w:rsidRDefault="004B417C" w:rsidP="00ED676F">
            <w:pPr>
              <w:spacing w:line="240" w:lineRule="auto"/>
              <w:jc w:val="both"/>
              <w:rPr>
                <w:lang w:val="el-GR"/>
              </w:rPr>
            </w:pPr>
            <w:r>
              <w:rPr>
                <w:lang w:val="el-GR"/>
              </w:rPr>
              <w:t>Καταθέσεις όψεως και προθεσμίας</w:t>
            </w:r>
          </w:p>
        </w:tc>
        <w:tc>
          <w:tcPr>
            <w:tcW w:w="1024" w:type="dxa"/>
            <w:tcBorders>
              <w:top w:val="single" w:sz="2" w:space="0" w:color="auto"/>
            </w:tcBorders>
            <w:vAlign w:val="center"/>
          </w:tcPr>
          <w:p w:rsidR="004B417C" w:rsidRDefault="004B417C" w:rsidP="00ED676F">
            <w:pPr>
              <w:spacing w:line="240" w:lineRule="auto"/>
              <w:jc w:val="right"/>
              <w:rPr>
                <w:lang w:val="el-GR"/>
              </w:rPr>
            </w:pPr>
            <w:r>
              <w:rPr>
                <w:lang w:val="el-GR"/>
              </w:rPr>
              <w:t>22.454</w:t>
            </w:r>
          </w:p>
        </w:tc>
        <w:tc>
          <w:tcPr>
            <w:tcW w:w="236" w:type="dxa"/>
            <w:vAlign w:val="center"/>
          </w:tcPr>
          <w:p w:rsidR="004B417C" w:rsidRDefault="004B417C" w:rsidP="00ED676F">
            <w:pPr>
              <w:spacing w:line="240" w:lineRule="auto"/>
              <w:jc w:val="right"/>
              <w:rPr>
                <w:lang w:val="el-GR"/>
              </w:rPr>
            </w:pPr>
          </w:p>
        </w:tc>
        <w:tc>
          <w:tcPr>
            <w:tcW w:w="1080" w:type="dxa"/>
            <w:tcBorders>
              <w:top w:val="single" w:sz="2" w:space="0" w:color="auto"/>
            </w:tcBorders>
            <w:vAlign w:val="center"/>
          </w:tcPr>
          <w:p w:rsidR="004B417C" w:rsidRDefault="004B417C" w:rsidP="00ED676F">
            <w:pPr>
              <w:spacing w:line="240" w:lineRule="auto"/>
              <w:jc w:val="right"/>
              <w:rPr>
                <w:lang w:val="el-GR"/>
              </w:rPr>
            </w:pPr>
            <w:r>
              <w:rPr>
                <w:lang w:val="el-GR"/>
              </w:rPr>
              <w:t>102.493</w:t>
            </w:r>
          </w:p>
        </w:tc>
      </w:tr>
      <w:tr w:rsidR="004B417C">
        <w:trPr>
          <w:trHeight w:hRule="exact" w:val="340"/>
        </w:trPr>
        <w:tc>
          <w:tcPr>
            <w:tcW w:w="5580" w:type="dxa"/>
            <w:vAlign w:val="center"/>
          </w:tcPr>
          <w:p w:rsidR="004B417C" w:rsidRDefault="004B417C">
            <w:pPr>
              <w:spacing w:line="240" w:lineRule="auto"/>
              <w:jc w:val="both"/>
              <w:rPr>
                <w:lang w:val="el-GR"/>
              </w:rPr>
            </w:pPr>
            <w:r>
              <w:rPr>
                <w:lang w:val="el-GR"/>
              </w:rPr>
              <w:t>Ταμείο</w:t>
            </w:r>
          </w:p>
        </w:tc>
        <w:tc>
          <w:tcPr>
            <w:tcW w:w="1024" w:type="dxa"/>
            <w:vAlign w:val="center"/>
          </w:tcPr>
          <w:p w:rsidR="004B417C" w:rsidRDefault="004B417C">
            <w:pPr>
              <w:spacing w:line="240" w:lineRule="auto"/>
              <w:jc w:val="right"/>
              <w:rPr>
                <w:lang w:val="el-GR"/>
              </w:rPr>
            </w:pPr>
            <w:r>
              <w:rPr>
                <w:lang w:val="el-GR"/>
              </w:rPr>
              <w:t>19</w:t>
            </w:r>
          </w:p>
        </w:tc>
        <w:tc>
          <w:tcPr>
            <w:tcW w:w="236" w:type="dxa"/>
            <w:vAlign w:val="center"/>
          </w:tcPr>
          <w:p w:rsidR="004B417C" w:rsidRDefault="004B417C">
            <w:pPr>
              <w:spacing w:line="240" w:lineRule="auto"/>
              <w:jc w:val="right"/>
              <w:rPr>
                <w:lang w:val="el-GR"/>
              </w:rPr>
            </w:pPr>
          </w:p>
        </w:tc>
        <w:tc>
          <w:tcPr>
            <w:tcW w:w="1080" w:type="dxa"/>
            <w:vAlign w:val="center"/>
          </w:tcPr>
          <w:p w:rsidR="004B417C" w:rsidRDefault="004B417C">
            <w:pPr>
              <w:spacing w:line="240" w:lineRule="auto"/>
              <w:jc w:val="right"/>
              <w:rPr>
                <w:lang w:val="el-GR"/>
              </w:rPr>
            </w:pPr>
            <w:r>
              <w:rPr>
                <w:lang w:val="el-GR"/>
              </w:rPr>
              <w:t>8</w:t>
            </w:r>
          </w:p>
        </w:tc>
      </w:tr>
      <w:tr w:rsidR="004B417C">
        <w:trPr>
          <w:trHeight w:hRule="exact" w:val="340"/>
        </w:trPr>
        <w:tc>
          <w:tcPr>
            <w:tcW w:w="5580" w:type="dxa"/>
            <w:vAlign w:val="center"/>
          </w:tcPr>
          <w:p w:rsidR="004B417C" w:rsidRDefault="004B417C">
            <w:pPr>
              <w:spacing w:line="240" w:lineRule="auto"/>
              <w:jc w:val="both"/>
              <w:rPr>
                <w:lang w:val="el-GR"/>
              </w:rPr>
            </w:pPr>
          </w:p>
        </w:tc>
        <w:tc>
          <w:tcPr>
            <w:tcW w:w="1024" w:type="dxa"/>
            <w:tcBorders>
              <w:top w:val="single" w:sz="4" w:space="0" w:color="auto"/>
              <w:bottom w:val="single" w:sz="4" w:space="0" w:color="auto"/>
            </w:tcBorders>
            <w:vAlign w:val="center"/>
          </w:tcPr>
          <w:p w:rsidR="004B417C" w:rsidRDefault="004B417C">
            <w:pPr>
              <w:spacing w:line="240" w:lineRule="auto"/>
              <w:jc w:val="right"/>
              <w:rPr>
                <w:b/>
                <w:bCs/>
                <w:lang w:val="el-GR"/>
              </w:rPr>
            </w:pPr>
            <w:r>
              <w:rPr>
                <w:b/>
                <w:bCs/>
                <w:lang w:val="el-GR"/>
              </w:rPr>
              <w:t>22.472</w:t>
            </w:r>
          </w:p>
        </w:tc>
        <w:tc>
          <w:tcPr>
            <w:tcW w:w="236" w:type="dxa"/>
            <w:vAlign w:val="center"/>
          </w:tcPr>
          <w:p w:rsidR="004B417C" w:rsidRDefault="004B417C">
            <w:pPr>
              <w:spacing w:line="240" w:lineRule="auto"/>
              <w:jc w:val="right"/>
              <w:rPr>
                <w:b/>
                <w:bCs/>
                <w:lang w:val="el-GR"/>
              </w:rPr>
            </w:pPr>
          </w:p>
        </w:tc>
        <w:tc>
          <w:tcPr>
            <w:tcW w:w="1080" w:type="dxa"/>
            <w:tcBorders>
              <w:top w:val="single" w:sz="4" w:space="0" w:color="auto"/>
              <w:bottom w:val="single" w:sz="4" w:space="0" w:color="auto"/>
            </w:tcBorders>
            <w:vAlign w:val="center"/>
          </w:tcPr>
          <w:p w:rsidR="004B417C" w:rsidRDefault="004B417C">
            <w:pPr>
              <w:spacing w:line="240" w:lineRule="auto"/>
              <w:jc w:val="right"/>
              <w:rPr>
                <w:b/>
                <w:bCs/>
                <w:lang w:val="el-GR"/>
              </w:rPr>
            </w:pPr>
            <w:r>
              <w:rPr>
                <w:b/>
                <w:bCs/>
                <w:lang w:val="el-GR"/>
              </w:rPr>
              <w:t>102.501</w:t>
            </w:r>
          </w:p>
        </w:tc>
      </w:tr>
      <w:bookmarkEnd w:id="20"/>
    </w:tbl>
    <w:p w:rsidR="004B417C" w:rsidRPr="00AB7A31"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b/>
          <w:szCs w:val="22"/>
          <w:lang w:val="el-GR"/>
        </w:rPr>
      </w:pPr>
    </w:p>
    <w:p w:rsidR="004B417C" w:rsidRPr="008E6296" w:rsidRDefault="004B417C" w:rsidP="00AC2D11">
      <w:pPr>
        <w:pStyle w:val="Heading1"/>
        <w:keepLines/>
        <w:numPr>
          <w:ilvl w:val="0"/>
          <w:numId w:val="32"/>
        </w:numPr>
        <w:shd w:val="clear" w:color="auto" w:fill="auto"/>
        <w:spacing w:before="130" w:line="280" w:lineRule="atLeast"/>
        <w:ind w:left="357" w:hanging="357"/>
        <w:rPr>
          <w:szCs w:val="22"/>
          <w:lang w:val="el-GR"/>
        </w:rPr>
      </w:pPr>
      <w:r w:rsidRPr="008E6296">
        <w:rPr>
          <w:szCs w:val="22"/>
          <w:lang w:val="el-GR"/>
        </w:rPr>
        <w:t>Απαιτήσεις από χρηματοδοτικές μισθώσεις</w:t>
      </w:r>
    </w:p>
    <w:p w:rsidR="004B417C" w:rsidRPr="008E6296" w:rsidRDefault="004B417C" w:rsidP="00CB379B">
      <w:pPr>
        <w:spacing w:line="240" w:lineRule="auto"/>
        <w:jc w:val="both"/>
        <w:rPr>
          <w:lang w:val="el-GR"/>
        </w:rPr>
      </w:pPr>
    </w:p>
    <w:p w:rsidR="004B417C" w:rsidRPr="008E6296" w:rsidRDefault="004B417C" w:rsidP="00CC12F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rPr>
          <w:szCs w:val="17"/>
          <w:lang w:val="el-GR"/>
        </w:rPr>
      </w:pPr>
      <w:r w:rsidRPr="008E6296">
        <w:rPr>
          <w:szCs w:val="17"/>
          <w:lang w:val="el-GR"/>
        </w:rPr>
        <w:t>Οι απαιτήσεις από χρηματοδοτικές μισθώσεις, αναλύονται ως εξής:</w:t>
      </w:r>
    </w:p>
    <w:p w:rsidR="004B417C" w:rsidRPr="008E6296"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17"/>
          <w:lang w:val="el-GR"/>
        </w:rPr>
      </w:pPr>
    </w:p>
    <w:tbl>
      <w:tblPr>
        <w:tblW w:w="7920" w:type="dxa"/>
        <w:tblInd w:w="108" w:type="dxa"/>
        <w:tblLayout w:type="fixed"/>
        <w:tblLook w:val="0000"/>
      </w:tblPr>
      <w:tblGrid>
        <w:gridCol w:w="5400"/>
        <w:gridCol w:w="1121"/>
        <w:gridCol w:w="284"/>
        <w:gridCol w:w="1115"/>
      </w:tblGrid>
      <w:tr w:rsidR="004B417C" w:rsidRPr="008E6296">
        <w:trPr>
          <w:trHeight w:hRule="exact" w:val="397"/>
        </w:trPr>
        <w:tc>
          <w:tcPr>
            <w:tcW w:w="5400" w:type="dxa"/>
            <w:vAlign w:val="center"/>
          </w:tcPr>
          <w:p w:rsidR="004B417C" w:rsidRPr="008E6296" w:rsidRDefault="004B417C">
            <w:pPr>
              <w:spacing w:line="240" w:lineRule="auto"/>
              <w:jc w:val="both"/>
              <w:rPr>
                <w:lang w:val="el-GR"/>
              </w:rPr>
            </w:pPr>
          </w:p>
        </w:tc>
        <w:tc>
          <w:tcPr>
            <w:tcW w:w="1121" w:type="dxa"/>
            <w:tcBorders>
              <w:bottom w:val="single" w:sz="4" w:space="0" w:color="auto"/>
            </w:tcBorders>
            <w:vAlign w:val="center"/>
          </w:tcPr>
          <w:p w:rsidR="004B417C" w:rsidRPr="008E6296" w:rsidRDefault="004B417C">
            <w:pPr>
              <w:spacing w:line="240" w:lineRule="auto"/>
              <w:jc w:val="right"/>
              <w:rPr>
                <w:b/>
                <w:lang w:val="el-GR"/>
              </w:rPr>
            </w:pPr>
            <w:r w:rsidRPr="008E6296">
              <w:rPr>
                <w:b/>
                <w:lang w:val="el-GR"/>
              </w:rPr>
              <w:t>2012</w:t>
            </w:r>
          </w:p>
        </w:tc>
        <w:tc>
          <w:tcPr>
            <w:tcW w:w="284" w:type="dxa"/>
            <w:vAlign w:val="center"/>
          </w:tcPr>
          <w:p w:rsidR="004B417C" w:rsidRPr="008E6296" w:rsidRDefault="004B417C">
            <w:pPr>
              <w:spacing w:line="240" w:lineRule="auto"/>
              <w:jc w:val="right"/>
              <w:rPr>
                <w:b/>
                <w:lang w:val="el-GR"/>
              </w:rPr>
            </w:pPr>
          </w:p>
        </w:tc>
        <w:tc>
          <w:tcPr>
            <w:tcW w:w="1115" w:type="dxa"/>
            <w:tcBorders>
              <w:bottom w:val="single" w:sz="4" w:space="0" w:color="auto"/>
            </w:tcBorders>
            <w:vAlign w:val="center"/>
          </w:tcPr>
          <w:p w:rsidR="004B417C" w:rsidRPr="008E6296" w:rsidRDefault="004B417C">
            <w:pPr>
              <w:spacing w:line="240" w:lineRule="auto"/>
              <w:jc w:val="right"/>
              <w:rPr>
                <w:b/>
                <w:lang w:val="el-GR"/>
              </w:rPr>
            </w:pPr>
            <w:r w:rsidRPr="008E6296">
              <w:rPr>
                <w:b/>
                <w:lang w:val="el-GR"/>
              </w:rPr>
              <w:t>2011</w:t>
            </w:r>
          </w:p>
        </w:tc>
      </w:tr>
      <w:tr w:rsidR="004B417C" w:rsidRPr="008E6296">
        <w:trPr>
          <w:trHeight w:hRule="exact" w:val="340"/>
        </w:trPr>
        <w:tc>
          <w:tcPr>
            <w:tcW w:w="5400" w:type="dxa"/>
            <w:vAlign w:val="center"/>
          </w:tcPr>
          <w:p w:rsidR="004B417C" w:rsidRPr="008E6296" w:rsidRDefault="004B417C">
            <w:pPr>
              <w:spacing w:line="240" w:lineRule="auto"/>
              <w:jc w:val="both"/>
              <w:rPr>
                <w:lang w:val="el-GR"/>
              </w:rPr>
            </w:pPr>
            <w:r w:rsidRPr="008E6296">
              <w:rPr>
                <w:lang w:val="el-GR"/>
              </w:rPr>
              <w:t>Απαιτήσεις από χρηματοδοτικές μισθώσεις</w:t>
            </w:r>
          </w:p>
        </w:tc>
        <w:tc>
          <w:tcPr>
            <w:tcW w:w="1121" w:type="dxa"/>
            <w:tcBorders>
              <w:top w:val="single" w:sz="4" w:space="0" w:color="auto"/>
            </w:tcBorders>
            <w:vAlign w:val="center"/>
          </w:tcPr>
          <w:p w:rsidR="004B417C" w:rsidRPr="008E6296" w:rsidRDefault="004B417C">
            <w:pPr>
              <w:spacing w:line="240" w:lineRule="auto"/>
              <w:jc w:val="right"/>
              <w:rPr>
                <w:lang w:val="el-GR"/>
              </w:rPr>
            </w:pPr>
            <w:r w:rsidRPr="008E6296">
              <w:rPr>
                <w:lang w:val="el-GR"/>
              </w:rPr>
              <w:t>432.270</w:t>
            </w:r>
          </w:p>
        </w:tc>
        <w:tc>
          <w:tcPr>
            <w:tcW w:w="284" w:type="dxa"/>
            <w:vAlign w:val="center"/>
          </w:tcPr>
          <w:p w:rsidR="004B417C" w:rsidRPr="008E6296" w:rsidRDefault="004B417C">
            <w:pPr>
              <w:spacing w:line="240" w:lineRule="auto"/>
              <w:jc w:val="right"/>
              <w:rPr>
                <w:lang w:val="el-GR"/>
              </w:rPr>
            </w:pPr>
          </w:p>
        </w:tc>
        <w:tc>
          <w:tcPr>
            <w:tcW w:w="1115" w:type="dxa"/>
            <w:tcBorders>
              <w:top w:val="single" w:sz="4" w:space="0" w:color="auto"/>
            </w:tcBorders>
            <w:vAlign w:val="center"/>
          </w:tcPr>
          <w:p w:rsidR="004B417C" w:rsidRPr="008E6296" w:rsidRDefault="004B417C">
            <w:pPr>
              <w:spacing w:line="240" w:lineRule="auto"/>
              <w:jc w:val="right"/>
              <w:rPr>
                <w:lang w:val="el-GR"/>
              </w:rPr>
            </w:pPr>
            <w:r w:rsidRPr="008E6296">
              <w:rPr>
                <w:lang w:val="el-GR"/>
              </w:rPr>
              <w:t>405.943</w:t>
            </w:r>
          </w:p>
        </w:tc>
      </w:tr>
      <w:tr w:rsidR="004B417C" w:rsidRPr="008E6296">
        <w:trPr>
          <w:trHeight w:hRule="exact" w:val="340"/>
        </w:trPr>
        <w:tc>
          <w:tcPr>
            <w:tcW w:w="5400" w:type="dxa"/>
            <w:vAlign w:val="center"/>
          </w:tcPr>
          <w:p w:rsidR="004B417C" w:rsidRPr="008E6296" w:rsidRDefault="004B417C">
            <w:pPr>
              <w:spacing w:line="240" w:lineRule="auto"/>
              <w:jc w:val="both"/>
              <w:rPr>
                <w:lang w:val="el-GR"/>
              </w:rPr>
            </w:pPr>
            <w:r w:rsidRPr="008E6296">
              <w:rPr>
                <w:lang w:val="el-GR"/>
              </w:rPr>
              <w:t>Μείον:  Έσοδα τόκων επομένων χρήσεων</w:t>
            </w:r>
          </w:p>
        </w:tc>
        <w:tc>
          <w:tcPr>
            <w:tcW w:w="1121" w:type="dxa"/>
            <w:tcBorders>
              <w:bottom w:val="single" w:sz="4" w:space="0" w:color="auto"/>
            </w:tcBorders>
            <w:vAlign w:val="center"/>
          </w:tcPr>
          <w:p w:rsidR="004B417C" w:rsidRPr="008E6296" w:rsidRDefault="004B417C">
            <w:pPr>
              <w:spacing w:line="240" w:lineRule="auto"/>
              <w:jc w:val="right"/>
              <w:rPr>
                <w:bCs/>
                <w:lang w:val="el-GR"/>
              </w:rPr>
            </w:pPr>
            <w:r w:rsidRPr="008E6296">
              <w:rPr>
                <w:bCs/>
                <w:lang w:val="el-GR"/>
              </w:rPr>
              <w:t>(81.149)</w:t>
            </w:r>
          </w:p>
        </w:tc>
        <w:tc>
          <w:tcPr>
            <w:tcW w:w="284" w:type="dxa"/>
            <w:vAlign w:val="center"/>
          </w:tcPr>
          <w:p w:rsidR="004B417C" w:rsidRPr="008E6296" w:rsidRDefault="004B417C">
            <w:pPr>
              <w:spacing w:line="240" w:lineRule="auto"/>
              <w:jc w:val="right"/>
              <w:rPr>
                <w:bCs/>
                <w:lang w:val="el-GR"/>
              </w:rPr>
            </w:pPr>
          </w:p>
        </w:tc>
        <w:tc>
          <w:tcPr>
            <w:tcW w:w="1115" w:type="dxa"/>
            <w:tcBorders>
              <w:bottom w:val="single" w:sz="4" w:space="0" w:color="auto"/>
            </w:tcBorders>
            <w:vAlign w:val="center"/>
          </w:tcPr>
          <w:p w:rsidR="004B417C" w:rsidRPr="008E6296" w:rsidRDefault="004B417C">
            <w:pPr>
              <w:spacing w:line="240" w:lineRule="auto"/>
              <w:jc w:val="right"/>
              <w:rPr>
                <w:bCs/>
                <w:lang w:val="el-GR"/>
              </w:rPr>
            </w:pPr>
            <w:r w:rsidRPr="008E6296">
              <w:rPr>
                <w:bCs/>
                <w:lang w:val="el-GR"/>
              </w:rPr>
              <w:t>(38.375)</w:t>
            </w:r>
          </w:p>
        </w:tc>
      </w:tr>
      <w:tr w:rsidR="004B417C" w:rsidRPr="008E6296" w:rsidTr="00212393">
        <w:trPr>
          <w:trHeight w:hRule="exact" w:val="422"/>
        </w:trPr>
        <w:tc>
          <w:tcPr>
            <w:tcW w:w="5400" w:type="dxa"/>
            <w:vAlign w:val="center"/>
          </w:tcPr>
          <w:p w:rsidR="004B417C" w:rsidRPr="008E6296" w:rsidRDefault="004B417C">
            <w:pPr>
              <w:spacing w:line="240" w:lineRule="auto"/>
              <w:jc w:val="both"/>
              <w:rPr>
                <w:lang w:val="el-GR"/>
              </w:rPr>
            </w:pPr>
            <w:r w:rsidRPr="008E6296">
              <w:rPr>
                <w:lang w:val="el-GR"/>
              </w:rPr>
              <w:t>Καθαρές απαιτήσεις από χρηματοδοτικές μισθώσεις</w:t>
            </w:r>
          </w:p>
        </w:tc>
        <w:tc>
          <w:tcPr>
            <w:tcW w:w="1121" w:type="dxa"/>
            <w:tcBorders>
              <w:top w:val="single" w:sz="4" w:space="0" w:color="auto"/>
              <w:bottom w:val="single" w:sz="2" w:space="0" w:color="auto"/>
            </w:tcBorders>
            <w:vAlign w:val="center"/>
          </w:tcPr>
          <w:p w:rsidR="004B417C" w:rsidRPr="008E6296" w:rsidRDefault="004B417C" w:rsidP="008858B3">
            <w:pPr>
              <w:spacing w:line="240" w:lineRule="auto"/>
              <w:jc w:val="center"/>
              <w:rPr>
                <w:b/>
                <w:bCs/>
                <w:lang w:val="el-GR"/>
              </w:rPr>
            </w:pPr>
            <w:r w:rsidRPr="008E6296">
              <w:rPr>
                <w:b/>
                <w:bCs/>
                <w:lang w:val="el-GR"/>
              </w:rPr>
              <w:t>351.121</w:t>
            </w:r>
          </w:p>
        </w:tc>
        <w:tc>
          <w:tcPr>
            <w:tcW w:w="284" w:type="dxa"/>
            <w:vAlign w:val="center"/>
          </w:tcPr>
          <w:p w:rsidR="004B417C" w:rsidRPr="008E6296" w:rsidRDefault="004B417C">
            <w:pPr>
              <w:spacing w:line="240" w:lineRule="auto"/>
              <w:jc w:val="right"/>
              <w:rPr>
                <w:b/>
                <w:bCs/>
                <w:lang w:val="el-GR"/>
              </w:rPr>
            </w:pPr>
          </w:p>
        </w:tc>
        <w:tc>
          <w:tcPr>
            <w:tcW w:w="1115" w:type="dxa"/>
            <w:tcBorders>
              <w:top w:val="single" w:sz="4" w:space="0" w:color="auto"/>
              <w:bottom w:val="single" w:sz="2" w:space="0" w:color="auto"/>
            </w:tcBorders>
            <w:vAlign w:val="center"/>
          </w:tcPr>
          <w:p w:rsidR="004B417C" w:rsidRPr="008E6296" w:rsidRDefault="004B417C">
            <w:pPr>
              <w:spacing w:line="240" w:lineRule="auto"/>
              <w:jc w:val="right"/>
              <w:rPr>
                <w:b/>
                <w:bCs/>
                <w:lang w:val="el-GR"/>
              </w:rPr>
            </w:pPr>
            <w:r w:rsidRPr="008E6296">
              <w:rPr>
                <w:b/>
                <w:bCs/>
                <w:lang w:val="el-GR"/>
              </w:rPr>
              <w:t>367.568</w:t>
            </w:r>
          </w:p>
        </w:tc>
      </w:tr>
      <w:tr w:rsidR="004B417C" w:rsidRPr="008E6296">
        <w:trPr>
          <w:trHeight w:hRule="exact" w:val="340"/>
        </w:trPr>
        <w:tc>
          <w:tcPr>
            <w:tcW w:w="5400" w:type="dxa"/>
            <w:vAlign w:val="center"/>
          </w:tcPr>
          <w:p w:rsidR="004B417C" w:rsidRPr="008E6296" w:rsidRDefault="004B417C">
            <w:pPr>
              <w:spacing w:line="240" w:lineRule="auto"/>
              <w:jc w:val="both"/>
              <w:rPr>
                <w:lang w:val="el-GR"/>
              </w:rPr>
            </w:pPr>
            <w:r w:rsidRPr="008E6296">
              <w:rPr>
                <w:lang w:val="el-GR"/>
              </w:rPr>
              <w:t>Μείον: πρόβλεψη για επισφαλείς απαιτήσεις (Σημ. 9.1)</w:t>
            </w:r>
          </w:p>
        </w:tc>
        <w:tc>
          <w:tcPr>
            <w:tcW w:w="1121" w:type="dxa"/>
            <w:tcBorders>
              <w:top w:val="single" w:sz="2" w:space="0" w:color="auto"/>
              <w:bottom w:val="single" w:sz="4" w:space="0" w:color="auto"/>
            </w:tcBorders>
            <w:vAlign w:val="center"/>
          </w:tcPr>
          <w:p w:rsidR="004B417C" w:rsidRPr="008E6296" w:rsidRDefault="004B417C">
            <w:pPr>
              <w:spacing w:line="240" w:lineRule="auto"/>
              <w:jc w:val="right"/>
              <w:rPr>
                <w:bCs/>
                <w:lang w:val="el-GR"/>
              </w:rPr>
            </w:pPr>
            <w:r w:rsidRPr="008E6296">
              <w:rPr>
                <w:bCs/>
                <w:lang w:val="el-GR"/>
              </w:rPr>
              <w:t>(174.174</w:t>
            </w:r>
            <w:r>
              <w:rPr>
                <w:bCs/>
                <w:lang w:val="el-GR"/>
              </w:rPr>
              <w:t>)</w:t>
            </w:r>
          </w:p>
          <w:p w:rsidR="004B417C" w:rsidRPr="008E6296" w:rsidRDefault="004B417C">
            <w:pPr>
              <w:spacing w:line="240" w:lineRule="auto"/>
              <w:jc w:val="right"/>
              <w:rPr>
                <w:bCs/>
                <w:lang w:val="el-GR"/>
              </w:rPr>
            </w:pPr>
            <w:r w:rsidRPr="008E6296">
              <w:rPr>
                <w:bCs/>
                <w:lang w:val="el-GR"/>
              </w:rPr>
              <w:t>)</w:t>
            </w:r>
          </w:p>
        </w:tc>
        <w:tc>
          <w:tcPr>
            <w:tcW w:w="284" w:type="dxa"/>
            <w:vAlign w:val="center"/>
          </w:tcPr>
          <w:p w:rsidR="004B417C" w:rsidRPr="008E6296" w:rsidRDefault="004B417C">
            <w:pPr>
              <w:spacing w:line="240" w:lineRule="auto"/>
              <w:jc w:val="right"/>
              <w:rPr>
                <w:bCs/>
                <w:lang w:val="el-GR"/>
              </w:rPr>
            </w:pPr>
          </w:p>
        </w:tc>
        <w:tc>
          <w:tcPr>
            <w:tcW w:w="1115" w:type="dxa"/>
            <w:tcBorders>
              <w:top w:val="single" w:sz="2" w:space="0" w:color="auto"/>
              <w:bottom w:val="single" w:sz="4" w:space="0" w:color="auto"/>
            </w:tcBorders>
            <w:vAlign w:val="center"/>
          </w:tcPr>
          <w:p w:rsidR="004B417C" w:rsidRPr="008E6296" w:rsidRDefault="004B417C">
            <w:pPr>
              <w:spacing w:line="240" w:lineRule="auto"/>
              <w:jc w:val="right"/>
              <w:rPr>
                <w:bCs/>
                <w:lang w:val="el-GR"/>
              </w:rPr>
            </w:pPr>
            <w:r w:rsidRPr="008E6296">
              <w:rPr>
                <w:bCs/>
                <w:lang w:val="el-GR"/>
              </w:rPr>
              <w:t>(159.172)</w:t>
            </w:r>
          </w:p>
        </w:tc>
      </w:tr>
      <w:tr w:rsidR="004B417C" w:rsidRPr="001B5088">
        <w:trPr>
          <w:trHeight w:hRule="exact" w:val="340"/>
        </w:trPr>
        <w:tc>
          <w:tcPr>
            <w:tcW w:w="5400" w:type="dxa"/>
            <w:vAlign w:val="center"/>
          </w:tcPr>
          <w:p w:rsidR="004B417C" w:rsidRPr="008E6296" w:rsidRDefault="004B417C">
            <w:pPr>
              <w:spacing w:line="240" w:lineRule="auto"/>
              <w:jc w:val="both"/>
              <w:rPr>
                <w:lang w:val="el-GR"/>
              </w:rPr>
            </w:pPr>
          </w:p>
        </w:tc>
        <w:tc>
          <w:tcPr>
            <w:tcW w:w="1121" w:type="dxa"/>
            <w:tcBorders>
              <w:top w:val="single" w:sz="4" w:space="0" w:color="auto"/>
              <w:bottom w:val="double" w:sz="4" w:space="0" w:color="auto"/>
            </w:tcBorders>
            <w:vAlign w:val="center"/>
          </w:tcPr>
          <w:p w:rsidR="004B417C" w:rsidRPr="008E6296" w:rsidRDefault="004B417C">
            <w:pPr>
              <w:spacing w:line="240" w:lineRule="auto"/>
              <w:jc w:val="right"/>
              <w:rPr>
                <w:b/>
                <w:bCs/>
                <w:lang w:val="el-GR"/>
              </w:rPr>
            </w:pPr>
            <w:r w:rsidRPr="008E6296">
              <w:rPr>
                <w:b/>
                <w:bCs/>
                <w:lang w:val="el-GR"/>
              </w:rPr>
              <w:t>176.947</w:t>
            </w:r>
          </w:p>
        </w:tc>
        <w:tc>
          <w:tcPr>
            <w:tcW w:w="284" w:type="dxa"/>
            <w:vAlign w:val="center"/>
          </w:tcPr>
          <w:p w:rsidR="004B417C" w:rsidRPr="008E6296" w:rsidRDefault="004B417C">
            <w:pPr>
              <w:spacing w:line="240" w:lineRule="auto"/>
              <w:jc w:val="right"/>
              <w:rPr>
                <w:b/>
                <w:bCs/>
                <w:lang w:val="el-GR"/>
              </w:rPr>
            </w:pPr>
          </w:p>
        </w:tc>
        <w:tc>
          <w:tcPr>
            <w:tcW w:w="1115" w:type="dxa"/>
            <w:tcBorders>
              <w:top w:val="single" w:sz="4" w:space="0" w:color="auto"/>
              <w:bottom w:val="double" w:sz="4" w:space="0" w:color="auto"/>
            </w:tcBorders>
            <w:vAlign w:val="center"/>
          </w:tcPr>
          <w:p w:rsidR="004B417C" w:rsidRDefault="004B417C">
            <w:pPr>
              <w:spacing w:line="240" w:lineRule="auto"/>
              <w:jc w:val="right"/>
              <w:rPr>
                <w:b/>
                <w:bCs/>
                <w:lang w:val="el-GR"/>
              </w:rPr>
            </w:pPr>
            <w:r w:rsidRPr="008E6296">
              <w:rPr>
                <w:b/>
                <w:bCs/>
                <w:lang w:val="el-GR"/>
              </w:rPr>
              <w:t>208.396</w:t>
            </w:r>
          </w:p>
        </w:tc>
      </w:tr>
    </w:tbl>
    <w:p w:rsidR="004B417C" w:rsidRDefault="004B417C" w:rsidP="00CC12F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rPr>
          <w:szCs w:val="17"/>
          <w:lang w:val="el-GR"/>
        </w:rPr>
      </w:pPr>
    </w:p>
    <w:p w:rsidR="004B417C" w:rsidRDefault="004B417C" w:rsidP="00CC12F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rPr>
          <w:szCs w:val="17"/>
          <w:lang w:val="el-GR"/>
        </w:rPr>
      </w:pPr>
    </w:p>
    <w:p w:rsidR="004B417C" w:rsidRPr="00FD1E8A" w:rsidRDefault="004B417C" w:rsidP="00CC12F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rPr>
          <w:szCs w:val="17"/>
          <w:lang w:val="el-GR"/>
        </w:rPr>
      </w:pPr>
      <w:r w:rsidRPr="00FD1E8A">
        <w:rPr>
          <w:szCs w:val="17"/>
          <w:lang w:val="el-GR"/>
        </w:rPr>
        <w:lastRenderedPageBreak/>
        <w:t>Οι καθαρές απαιτήσεις από χρηματοδοτικές μισθώσεις αναλύονται, με βάση το χρόνο που καθίστανται ληξιπρόθεσμες, ως εξής:</w:t>
      </w:r>
    </w:p>
    <w:p w:rsidR="004B417C" w:rsidRPr="00FD1E8A" w:rsidRDefault="004B417C" w:rsidP="00CC12F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rPr>
          <w:szCs w:val="17"/>
          <w:lang w:val="el-GR"/>
        </w:rPr>
      </w:pPr>
    </w:p>
    <w:p w:rsidR="004B417C" w:rsidRPr="00FD1E8A"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17"/>
          <w:lang w:val="el-GR"/>
        </w:rPr>
      </w:pPr>
    </w:p>
    <w:tbl>
      <w:tblPr>
        <w:tblW w:w="7920" w:type="dxa"/>
        <w:tblInd w:w="108" w:type="dxa"/>
        <w:tblLayout w:type="fixed"/>
        <w:tblLook w:val="0000"/>
      </w:tblPr>
      <w:tblGrid>
        <w:gridCol w:w="5400"/>
        <w:gridCol w:w="1121"/>
        <w:gridCol w:w="254"/>
        <w:gridCol w:w="1145"/>
      </w:tblGrid>
      <w:tr w:rsidR="004B417C" w:rsidRPr="00FD1E8A">
        <w:trPr>
          <w:trHeight w:hRule="exact" w:val="397"/>
        </w:trPr>
        <w:tc>
          <w:tcPr>
            <w:tcW w:w="5400" w:type="dxa"/>
            <w:vAlign w:val="center"/>
          </w:tcPr>
          <w:p w:rsidR="004B417C" w:rsidRPr="00FD1E8A" w:rsidRDefault="004B417C">
            <w:pPr>
              <w:spacing w:line="240" w:lineRule="auto"/>
              <w:jc w:val="both"/>
              <w:rPr>
                <w:b/>
                <w:lang w:val="el-GR"/>
              </w:rPr>
            </w:pPr>
            <w:r w:rsidRPr="00FD1E8A">
              <w:rPr>
                <w:b/>
                <w:lang w:val="el-GR"/>
              </w:rPr>
              <w:t>Καθαρές απαιτήσεις από χρηματοδοτικές μισθώσεις</w:t>
            </w:r>
          </w:p>
        </w:tc>
        <w:tc>
          <w:tcPr>
            <w:tcW w:w="1121" w:type="dxa"/>
            <w:tcBorders>
              <w:bottom w:val="single" w:sz="4" w:space="0" w:color="auto"/>
            </w:tcBorders>
            <w:vAlign w:val="center"/>
          </w:tcPr>
          <w:p w:rsidR="004B417C" w:rsidRPr="00FD1E8A" w:rsidRDefault="004B417C">
            <w:pPr>
              <w:spacing w:line="240" w:lineRule="auto"/>
              <w:jc w:val="right"/>
              <w:rPr>
                <w:b/>
                <w:lang w:val="el-GR"/>
              </w:rPr>
            </w:pPr>
            <w:r w:rsidRPr="00FD1E8A">
              <w:rPr>
                <w:b/>
                <w:lang w:val="el-GR"/>
              </w:rPr>
              <w:t>2012</w:t>
            </w:r>
          </w:p>
        </w:tc>
        <w:tc>
          <w:tcPr>
            <w:tcW w:w="254" w:type="dxa"/>
            <w:vAlign w:val="center"/>
          </w:tcPr>
          <w:p w:rsidR="004B417C" w:rsidRPr="00FD1E8A" w:rsidRDefault="004B417C">
            <w:pPr>
              <w:spacing w:line="240" w:lineRule="auto"/>
              <w:jc w:val="right"/>
              <w:rPr>
                <w:b/>
                <w:lang w:val="el-GR"/>
              </w:rPr>
            </w:pPr>
          </w:p>
        </w:tc>
        <w:tc>
          <w:tcPr>
            <w:tcW w:w="1145" w:type="dxa"/>
            <w:tcBorders>
              <w:bottom w:val="single" w:sz="4" w:space="0" w:color="auto"/>
            </w:tcBorders>
            <w:vAlign w:val="center"/>
          </w:tcPr>
          <w:p w:rsidR="004B417C" w:rsidRPr="00FD1E8A" w:rsidRDefault="004B417C">
            <w:pPr>
              <w:spacing w:line="240" w:lineRule="auto"/>
              <w:jc w:val="right"/>
              <w:rPr>
                <w:b/>
                <w:lang w:val="el-GR"/>
              </w:rPr>
            </w:pPr>
            <w:r w:rsidRPr="00FD1E8A">
              <w:rPr>
                <w:b/>
                <w:lang w:val="el-GR"/>
              </w:rPr>
              <w:t>2011</w:t>
            </w:r>
          </w:p>
        </w:tc>
      </w:tr>
      <w:tr w:rsidR="004B417C" w:rsidRPr="00FD1E8A">
        <w:trPr>
          <w:trHeight w:hRule="exact" w:val="340"/>
        </w:trPr>
        <w:tc>
          <w:tcPr>
            <w:tcW w:w="5400" w:type="dxa"/>
            <w:vAlign w:val="center"/>
          </w:tcPr>
          <w:p w:rsidR="004B417C" w:rsidRPr="00FD1E8A" w:rsidRDefault="004B417C">
            <w:pPr>
              <w:spacing w:line="240" w:lineRule="auto"/>
              <w:jc w:val="both"/>
              <w:rPr>
                <w:lang w:val="el-GR"/>
              </w:rPr>
            </w:pPr>
            <w:r w:rsidRPr="00FD1E8A">
              <w:rPr>
                <w:lang w:val="el-GR"/>
              </w:rPr>
              <w:t>Εντός ενός έτους</w:t>
            </w:r>
          </w:p>
        </w:tc>
        <w:tc>
          <w:tcPr>
            <w:tcW w:w="1121" w:type="dxa"/>
            <w:tcBorders>
              <w:top w:val="single" w:sz="4" w:space="0" w:color="auto"/>
            </w:tcBorders>
            <w:vAlign w:val="center"/>
          </w:tcPr>
          <w:p w:rsidR="004B417C" w:rsidRPr="00FD1E8A" w:rsidRDefault="004B417C">
            <w:pPr>
              <w:spacing w:line="240" w:lineRule="auto"/>
              <w:jc w:val="right"/>
              <w:rPr>
                <w:lang w:val="el-GR"/>
              </w:rPr>
            </w:pPr>
            <w:r w:rsidRPr="00FD1E8A">
              <w:rPr>
                <w:lang w:val="el-GR"/>
              </w:rPr>
              <w:t>207.599</w:t>
            </w:r>
          </w:p>
        </w:tc>
        <w:tc>
          <w:tcPr>
            <w:tcW w:w="254" w:type="dxa"/>
            <w:vAlign w:val="center"/>
          </w:tcPr>
          <w:p w:rsidR="004B417C" w:rsidRPr="00FD1E8A" w:rsidRDefault="004B417C">
            <w:pPr>
              <w:spacing w:line="240" w:lineRule="auto"/>
              <w:jc w:val="right"/>
              <w:rPr>
                <w:lang w:val="el-GR"/>
              </w:rPr>
            </w:pPr>
          </w:p>
        </w:tc>
        <w:tc>
          <w:tcPr>
            <w:tcW w:w="1145" w:type="dxa"/>
            <w:tcBorders>
              <w:top w:val="single" w:sz="4" w:space="0" w:color="auto"/>
            </w:tcBorders>
            <w:vAlign w:val="center"/>
          </w:tcPr>
          <w:p w:rsidR="004B417C" w:rsidRPr="00FD1E8A" w:rsidRDefault="004B417C">
            <w:pPr>
              <w:spacing w:line="240" w:lineRule="auto"/>
              <w:jc w:val="right"/>
              <w:rPr>
                <w:lang w:val="el-GR"/>
              </w:rPr>
            </w:pPr>
            <w:r w:rsidRPr="00FD1E8A">
              <w:rPr>
                <w:lang w:val="el-GR"/>
              </w:rPr>
              <w:t>217.466</w:t>
            </w:r>
          </w:p>
        </w:tc>
      </w:tr>
      <w:tr w:rsidR="004B417C" w:rsidRPr="00FD1E8A">
        <w:trPr>
          <w:trHeight w:hRule="exact" w:val="170"/>
        </w:trPr>
        <w:tc>
          <w:tcPr>
            <w:tcW w:w="5400" w:type="dxa"/>
            <w:vAlign w:val="center"/>
          </w:tcPr>
          <w:p w:rsidR="004B417C" w:rsidRPr="00FD1E8A" w:rsidRDefault="004B417C">
            <w:pPr>
              <w:spacing w:line="240" w:lineRule="auto"/>
              <w:jc w:val="both"/>
              <w:rPr>
                <w:lang w:val="el-GR"/>
              </w:rPr>
            </w:pPr>
          </w:p>
        </w:tc>
        <w:tc>
          <w:tcPr>
            <w:tcW w:w="1121" w:type="dxa"/>
            <w:vAlign w:val="center"/>
          </w:tcPr>
          <w:p w:rsidR="004B417C" w:rsidRPr="00FD1E8A" w:rsidRDefault="004B417C">
            <w:pPr>
              <w:spacing w:line="240" w:lineRule="auto"/>
              <w:jc w:val="right"/>
              <w:rPr>
                <w:lang w:val="el-GR"/>
              </w:rPr>
            </w:pPr>
          </w:p>
        </w:tc>
        <w:tc>
          <w:tcPr>
            <w:tcW w:w="254" w:type="dxa"/>
            <w:vAlign w:val="center"/>
          </w:tcPr>
          <w:p w:rsidR="004B417C" w:rsidRPr="00FD1E8A" w:rsidRDefault="004B417C">
            <w:pPr>
              <w:spacing w:line="240" w:lineRule="auto"/>
              <w:jc w:val="right"/>
              <w:rPr>
                <w:lang w:val="el-GR"/>
              </w:rPr>
            </w:pPr>
          </w:p>
        </w:tc>
        <w:tc>
          <w:tcPr>
            <w:tcW w:w="1145" w:type="dxa"/>
            <w:vAlign w:val="center"/>
          </w:tcPr>
          <w:p w:rsidR="004B417C" w:rsidRPr="00FD1E8A" w:rsidRDefault="004B417C">
            <w:pPr>
              <w:spacing w:line="240" w:lineRule="auto"/>
              <w:jc w:val="right"/>
              <w:rPr>
                <w:lang w:val="el-GR"/>
              </w:rPr>
            </w:pPr>
          </w:p>
        </w:tc>
      </w:tr>
      <w:tr w:rsidR="004B417C" w:rsidRPr="00FD1E8A">
        <w:trPr>
          <w:trHeight w:hRule="exact" w:val="340"/>
        </w:trPr>
        <w:tc>
          <w:tcPr>
            <w:tcW w:w="5400" w:type="dxa"/>
            <w:vAlign w:val="center"/>
          </w:tcPr>
          <w:p w:rsidR="004B417C" w:rsidRPr="00FD1E8A" w:rsidRDefault="004B417C">
            <w:pPr>
              <w:spacing w:line="240" w:lineRule="auto"/>
              <w:jc w:val="both"/>
              <w:rPr>
                <w:lang w:val="el-GR"/>
              </w:rPr>
            </w:pPr>
            <w:r w:rsidRPr="00FD1E8A">
              <w:rPr>
                <w:lang w:val="el-GR"/>
              </w:rPr>
              <w:t>Από ένα έως πέντε έτη</w:t>
            </w:r>
          </w:p>
        </w:tc>
        <w:tc>
          <w:tcPr>
            <w:tcW w:w="1121" w:type="dxa"/>
            <w:vAlign w:val="center"/>
          </w:tcPr>
          <w:p w:rsidR="004B417C" w:rsidRPr="00FD1E8A" w:rsidRDefault="004B417C">
            <w:pPr>
              <w:spacing w:line="240" w:lineRule="auto"/>
              <w:jc w:val="right"/>
              <w:rPr>
                <w:bCs/>
                <w:lang w:val="el-GR"/>
              </w:rPr>
            </w:pPr>
            <w:r w:rsidRPr="00FD1E8A">
              <w:rPr>
                <w:bCs/>
                <w:lang w:val="el-GR"/>
              </w:rPr>
              <w:t>50.338</w:t>
            </w:r>
          </w:p>
        </w:tc>
        <w:tc>
          <w:tcPr>
            <w:tcW w:w="254" w:type="dxa"/>
            <w:vAlign w:val="center"/>
          </w:tcPr>
          <w:p w:rsidR="004B417C" w:rsidRPr="00FD1E8A" w:rsidRDefault="004B417C">
            <w:pPr>
              <w:spacing w:line="240" w:lineRule="auto"/>
              <w:jc w:val="right"/>
              <w:rPr>
                <w:bCs/>
                <w:lang w:val="el-GR"/>
              </w:rPr>
            </w:pPr>
          </w:p>
        </w:tc>
        <w:tc>
          <w:tcPr>
            <w:tcW w:w="1145" w:type="dxa"/>
            <w:vAlign w:val="center"/>
          </w:tcPr>
          <w:p w:rsidR="004B417C" w:rsidRPr="00FD1E8A" w:rsidRDefault="004B417C">
            <w:pPr>
              <w:spacing w:line="240" w:lineRule="auto"/>
              <w:jc w:val="right"/>
              <w:rPr>
                <w:bCs/>
                <w:lang w:val="el-GR"/>
              </w:rPr>
            </w:pPr>
            <w:r w:rsidRPr="00FD1E8A">
              <w:rPr>
                <w:bCs/>
                <w:lang w:val="el-GR"/>
              </w:rPr>
              <w:t>67.906</w:t>
            </w:r>
          </w:p>
        </w:tc>
      </w:tr>
      <w:tr w:rsidR="004B417C" w:rsidRPr="00FD1E8A">
        <w:trPr>
          <w:trHeight w:hRule="exact" w:val="170"/>
        </w:trPr>
        <w:tc>
          <w:tcPr>
            <w:tcW w:w="5400" w:type="dxa"/>
            <w:vAlign w:val="center"/>
          </w:tcPr>
          <w:p w:rsidR="004B417C" w:rsidRPr="00FD1E8A" w:rsidRDefault="004B417C">
            <w:pPr>
              <w:spacing w:line="240" w:lineRule="auto"/>
              <w:jc w:val="both"/>
              <w:rPr>
                <w:lang w:val="el-GR"/>
              </w:rPr>
            </w:pPr>
          </w:p>
        </w:tc>
        <w:tc>
          <w:tcPr>
            <w:tcW w:w="1121" w:type="dxa"/>
            <w:vAlign w:val="center"/>
          </w:tcPr>
          <w:p w:rsidR="004B417C" w:rsidRPr="00FD1E8A" w:rsidRDefault="004B417C">
            <w:pPr>
              <w:spacing w:line="240" w:lineRule="auto"/>
              <w:jc w:val="right"/>
              <w:rPr>
                <w:bCs/>
                <w:lang w:val="el-GR"/>
              </w:rPr>
            </w:pPr>
          </w:p>
        </w:tc>
        <w:tc>
          <w:tcPr>
            <w:tcW w:w="254" w:type="dxa"/>
            <w:vAlign w:val="center"/>
          </w:tcPr>
          <w:p w:rsidR="004B417C" w:rsidRPr="00FD1E8A" w:rsidRDefault="004B417C">
            <w:pPr>
              <w:spacing w:line="240" w:lineRule="auto"/>
              <w:jc w:val="right"/>
              <w:rPr>
                <w:bCs/>
                <w:lang w:val="el-GR"/>
              </w:rPr>
            </w:pPr>
          </w:p>
        </w:tc>
        <w:tc>
          <w:tcPr>
            <w:tcW w:w="1145" w:type="dxa"/>
            <w:vAlign w:val="center"/>
          </w:tcPr>
          <w:p w:rsidR="004B417C" w:rsidRPr="00FD1E8A" w:rsidRDefault="004B417C">
            <w:pPr>
              <w:spacing w:line="240" w:lineRule="auto"/>
              <w:jc w:val="right"/>
              <w:rPr>
                <w:bCs/>
                <w:lang w:val="el-GR"/>
              </w:rPr>
            </w:pPr>
          </w:p>
        </w:tc>
      </w:tr>
      <w:tr w:rsidR="004B417C" w:rsidRPr="00FD1E8A">
        <w:trPr>
          <w:trHeight w:hRule="exact" w:val="340"/>
        </w:trPr>
        <w:tc>
          <w:tcPr>
            <w:tcW w:w="5400" w:type="dxa"/>
            <w:vAlign w:val="center"/>
          </w:tcPr>
          <w:p w:rsidR="004B417C" w:rsidRPr="00FD1E8A" w:rsidRDefault="004B417C">
            <w:pPr>
              <w:spacing w:line="240" w:lineRule="auto"/>
              <w:jc w:val="both"/>
              <w:rPr>
                <w:lang w:val="el-GR"/>
              </w:rPr>
            </w:pPr>
            <w:r w:rsidRPr="00FD1E8A">
              <w:rPr>
                <w:lang w:val="el-GR"/>
              </w:rPr>
              <w:t>Άνω των πέντε ετών</w:t>
            </w:r>
          </w:p>
        </w:tc>
        <w:tc>
          <w:tcPr>
            <w:tcW w:w="1121" w:type="dxa"/>
            <w:tcBorders>
              <w:bottom w:val="single" w:sz="4" w:space="0" w:color="auto"/>
            </w:tcBorders>
            <w:vAlign w:val="center"/>
          </w:tcPr>
          <w:p w:rsidR="004B417C" w:rsidRPr="00FD1E8A" w:rsidRDefault="004B417C">
            <w:pPr>
              <w:spacing w:line="240" w:lineRule="auto"/>
              <w:jc w:val="right"/>
              <w:rPr>
                <w:bCs/>
                <w:lang w:val="el-GR"/>
              </w:rPr>
            </w:pPr>
            <w:r w:rsidRPr="00FD1E8A">
              <w:rPr>
                <w:bCs/>
                <w:lang w:val="el-GR"/>
              </w:rPr>
              <w:t>93.184</w:t>
            </w:r>
          </w:p>
        </w:tc>
        <w:tc>
          <w:tcPr>
            <w:tcW w:w="254" w:type="dxa"/>
            <w:vAlign w:val="center"/>
          </w:tcPr>
          <w:p w:rsidR="004B417C" w:rsidRPr="00FD1E8A" w:rsidRDefault="004B417C">
            <w:pPr>
              <w:spacing w:line="240" w:lineRule="auto"/>
              <w:jc w:val="right"/>
              <w:rPr>
                <w:bCs/>
                <w:lang w:val="el-GR"/>
              </w:rPr>
            </w:pPr>
          </w:p>
        </w:tc>
        <w:tc>
          <w:tcPr>
            <w:tcW w:w="1145" w:type="dxa"/>
            <w:tcBorders>
              <w:bottom w:val="single" w:sz="4" w:space="0" w:color="auto"/>
            </w:tcBorders>
            <w:vAlign w:val="center"/>
          </w:tcPr>
          <w:p w:rsidR="004B417C" w:rsidRPr="00FD1E8A" w:rsidRDefault="004B417C">
            <w:pPr>
              <w:spacing w:line="240" w:lineRule="auto"/>
              <w:jc w:val="right"/>
              <w:rPr>
                <w:bCs/>
                <w:lang w:val="el-GR"/>
              </w:rPr>
            </w:pPr>
            <w:r w:rsidRPr="00FD1E8A">
              <w:rPr>
                <w:bCs/>
                <w:lang w:val="el-GR"/>
              </w:rPr>
              <w:t>82.196</w:t>
            </w:r>
          </w:p>
        </w:tc>
      </w:tr>
      <w:tr w:rsidR="004B417C" w:rsidRPr="00415A92">
        <w:trPr>
          <w:trHeight w:hRule="exact" w:val="340"/>
        </w:trPr>
        <w:tc>
          <w:tcPr>
            <w:tcW w:w="5400" w:type="dxa"/>
            <w:vAlign w:val="center"/>
          </w:tcPr>
          <w:p w:rsidR="004B417C" w:rsidRPr="00FD1E8A" w:rsidRDefault="004B417C">
            <w:pPr>
              <w:spacing w:line="240" w:lineRule="auto"/>
              <w:jc w:val="both"/>
            </w:pPr>
          </w:p>
        </w:tc>
        <w:tc>
          <w:tcPr>
            <w:tcW w:w="1121" w:type="dxa"/>
            <w:tcBorders>
              <w:top w:val="single" w:sz="4" w:space="0" w:color="auto"/>
              <w:bottom w:val="double" w:sz="4" w:space="0" w:color="auto"/>
            </w:tcBorders>
            <w:vAlign w:val="center"/>
          </w:tcPr>
          <w:p w:rsidR="004B417C" w:rsidRPr="00FD1E8A" w:rsidRDefault="004B417C">
            <w:pPr>
              <w:spacing w:line="240" w:lineRule="auto"/>
              <w:jc w:val="right"/>
              <w:rPr>
                <w:b/>
                <w:bCs/>
                <w:lang w:val="el-GR"/>
              </w:rPr>
            </w:pPr>
            <w:r w:rsidRPr="00FD1E8A">
              <w:rPr>
                <w:b/>
                <w:bCs/>
                <w:lang w:val="el-GR"/>
              </w:rPr>
              <w:t>351.121</w:t>
            </w:r>
          </w:p>
        </w:tc>
        <w:tc>
          <w:tcPr>
            <w:tcW w:w="254" w:type="dxa"/>
            <w:vAlign w:val="center"/>
          </w:tcPr>
          <w:p w:rsidR="004B417C" w:rsidRPr="00FD1E8A" w:rsidRDefault="004B417C">
            <w:pPr>
              <w:spacing w:line="240" w:lineRule="auto"/>
              <w:jc w:val="right"/>
              <w:rPr>
                <w:bCs/>
                <w:lang w:val="el-GR"/>
              </w:rPr>
            </w:pPr>
          </w:p>
        </w:tc>
        <w:tc>
          <w:tcPr>
            <w:tcW w:w="1145" w:type="dxa"/>
            <w:tcBorders>
              <w:top w:val="single" w:sz="4" w:space="0" w:color="auto"/>
              <w:bottom w:val="double" w:sz="4" w:space="0" w:color="auto"/>
            </w:tcBorders>
            <w:vAlign w:val="center"/>
          </w:tcPr>
          <w:p w:rsidR="004B417C" w:rsidRPr="00FD1E8A" w:rsidRDefault="004B417C">
            <w:pPr>
              <w:spacing w:line="240" w:lineRule="auto"/>
              <w:jc w:val="right"/>
              <w:rPr>
                <w:b/>
                <w:bCs/>
                <w:lang w:val="el-GR"/>
              </w:rPr>
            </w:pPr>
            <w:r w:rsidRPr="00FD1E8A">
              <w:rPr>
                <w:b/>
                <w:bCs/>
                <w:lang w:val="el-GR"/>
              </w:rPr>
              <w:t>367.568</w:t>
            </w:r>
          </w:p>
        </w:tc>
      </w:tr>
      <w:tr w:rsidR="004B417C" w:rsidRPr="00415A92">
        <w:trPr>
          <w:trHeight w:hRule="exact" w:val="340"/>
        </w:trPr>
        <w:tc>
          <w:tcPr>
            <w:tcW w:w="5400" w:type="dxa"/>
            <w:vAlign w:val="center"/>
          </w:tcPr>
          <w:p w:rsidR="004B417C" w:rsidRPr="00415A92" w:rsidRDefault="004B417C">
            <w:pPr>
              <w:spacing w:line="240" w:lineRule="auto"/>
              <w:jc w:val="both"/>
              <w:rPr>
                <w:highlight w:val="yellow"/>
                <w:lang w:val="el-GR"/>
              </w:rPr>
            </w:pPr>
          </w:p>
          <w:p w:rsidR="004B417C" w:rsidRPr="00415A92" w:rsidRDefault="004B417C">
            <w:pPr>
              <w:spacing w:line="240" w:lineRule="auto"/>
              <w:jc w:val="both"/>
              <w:rPr>
                <w:highlight w:val="yellow"/>
                <w:lang w:val="el-GR"/>
              </w:rPr>
            </w:pPr>
          </w:p>
          <w:p w:rsidR="004B417C" w:rsidRPr="00415A92" w:rsidRDefault="004B417C">
            <w:pPr>
              <w:spacing w:line="240" w:lineRule="auto"/>
              <w:jc w:val="both"/>
              <w:rPr>
                <w:highlight w:val="yellow"/>
                <w:lang w:val="el-GR"/>
              </w:rPr>
            </w:pPr>
          </w:p>
          <w:p w:rsidR="004B417C" w:rsidRPr="00415A92" w:rsidRDefault="004B417C">
            <w:pPr>
              <w:spacing w:line="240" w:lineRule="auto"/>
              <w:jc w:val="both"/>
              <w:rPr>
                <w:highlight w:val="yellow"/>
                <w:lang w:val="el-GR"/>
              </w:rPr>
            </w:pPr>
          </w:p>
          <w:p w:rsidR="004B417C" w:rsidRPr="00415A92" w:rsidRDefault="004B417C">
            <w:pPr>
              <w:spacing w:line="240" w:lineRule="auto"/>
              <w:jc w:val="both"/>
              <w:rPr>
                <w:highlight w:val="yellow"/>
                <w:lang w:val="el-GR"/>
              </w:rPr>
            </w:pPr>
          </w:p>
          <w:p w:rsidR="004B417C" w:rsidRPr="00415A92" w:rsidRDefault="004B417C">
            <w:pPr>
              <w:spacing w:line="240" w:lineRule="auto"/>
              <w:jc w:val="both"/>
              <w:rPr>
                <w:highlight w:val="yellow"/>
                <w:lang w:val="el-GR"/>
              </w:rPr>
            </w:pPr>
          </w:p>
        </w:tc>
        <w:tc>
          <w:tcPr>
            <w:tcW w:w="1121" w:type="dxa"/>
            <w:tcBorders>
              <w:top w:val="double" w:sz="4" w:space="0" w:color="auto"/>
            </w:tcBorders>
            <w:vAlign w:val="center"/>
          </w:tcPr>
          <w:p w:rsidR="004B417C" w:rsidRPr="00415A92" w:rsidRDefault="004B417C">
            <w:pPr>
              <w:spacing w:line="240" w:lineRule="auto"/>
              <w:jc w:val="right"/>
              <w:rPr>
                <w:bCs/>
                <w:highlight w:val="yellow"/>
                <w:lang w:val="el-GR"/>
              </w:rPr>
            </w:pPr>
          </w:p>
        </w:tc>
        <w:tc>
          <w:tcPr>
            <w:tcW w:w="254" w:type="dxa"/>
            <w:vAlign w:val="center"/>
          </w:tcPr>
          <w:p w:rsidR="004B417C" w:rsidRPr="00415A92" w:rsidRDefault="004B417C">
            <w:pPr>
              <w:spacing w:line="240" w:lineRule="auto"/>
              <w:jc w:val="right"/>
              <w:rPr>
                <w:bCs/>
                <w:highlight w:val="yellow"/>
                <w:lang w:val="el-GR"/>
              </w:rPr>
            </w:pPr>
          </w:p>
        </w:tc>
        <w:tc>
          <w:tcPr>
            <w:tcW w:w="1145" w:type="dxa"/>
            <w:tcBorders>
              <w:top w:val="double" w:sz="4" w:space="0" w:color="auto"/>
            </w:tcBorders>
            <w:vAlign w:val="center"/>
          </w:tcPr>
          <w:p w:rsidR="004B417C" w:rsidRPr="00415A92" w:rsidRDefault="004B417C">
            <w:pPr>
              <w:spacing w:line="240" w:lineRule="auto"/>
              <w:jc w:val="right"/>
              <w:rPr>
                <w:bCs/>
                <w:highlight w:val="yellow"/>
                <w:lang w:val="el-GR"/>
              </w:rPr>
            </w:pPr>
          </w:p>
        </w:tc>
      </w:tr>
      <w:tr w:rsidR="004B417C" w:rsidRPr="00415A92">
        <w:trPr>
          <w:trHeight w:hRule="exact" w:val="397"/>
        </w:trPr>
        <w:tc>
          <w:tcPr>
            <w:tcW w:w="5400" w:type="dxa"/>
            <w:vAlign w:val="center"/>
          </w:tcPr>
          <w:p w:rsidR="004B417C" w:rsidRPr="00FD1E8A" w:rsidRDefault="004B417C">
            <w:pPr>
              <w:spacing w:line="240" w:lineRule="auto"/>
              <w:jc w:val="both"/>
              <w:rPr>
                <w:b/>
                <w:lang w:val="el-GR"/>
              </w:rPr>
            </w:pPr>
            <w:r w:rsidRPr="00FD1E8A">
              <w:rPr>
                <w:b/>
                <w:lang w:val="el-GR"/>
              </w:rPr>
              <w:t>Έσοδα τόκων επομένων χρήσεων</w:t>
            </w:r>
          </w:p>
        </w:tc>
        <w:tc>
          <w:tcPr>
            <w:tcW w:w="1121" w:type="dxa"/>
            <w:tcBorders>
              <w:bottom w:val="single" w:sz="4" w:space="0" w:color="auto"/>
            </w:tcBorders>
            <w:vAlign w:val="center"/>
          </w:tcPr>
          <w:p w:rsidR="004B417C" w:rsidRPr="00FD1E8A" w:rsidRDefault="004B417C">
            <w:pPr>
              <w:spacing w:line="240" w:lineRule="auto"/>
              <w:jc w:val="right"/>
              <w:rPr>
                <w:b/>
                <w:lang w:val="el-GR"/>
              </w:rPr>
            </w:pPr>
            <w:r w:rsidRPr="00FD1E8A">
              <w:rPr>
                <w:b/>
                <w:lang w:val="el-GR"/>
              </w:rPr>
              <w:t>2012</w:t>
            </w:r>
          </w:p>
        </w:tc>
        <w:tc>
          <w:tcPr>
            <w:tcW w:w="254" w:type="dxa"/>
            <w:vAlign w:val="center"/>
          </w:tcPr>
          <w:p w:rsidR="004B417C" w:rsidRPr="00FD1E8A" w:rsidRDefault="004B417C">
            <w:pPr>
              <w:spacing w:line="240" w:lineRule="auto"/>
              <w:jc w:val="right"/>
              <w:rPr>
                <w:b/>
                <w:lang w:val="el-GR"/>
              </w:rPr>
            </w:pPr>
          </w:p>
        </w:tc>
        <w:tc>
          <w:tcPr>
            <w:tcW w:w="1145" w:type="dxa"/>
            <w:tcBorders>
              <w:bottom w:val="single" w:sz="4" w:space="0" w:color="auto"/>
            </w:tcBorders>
            <w:vAlign w:val="center"/>
          </w:tcPr>
          <w:p w:rsidR="004B417C" w:rsidRPr="00FD1E8A" w:rsidRDefault="004B417C">
            <w:pPr>
              <w:spacing w:line="240" w:lineRule="auto"/>
              <w:jc w:val="right"/>
              <w:rPr>
                <w:b/>
                <w:lang w:val="el-GR"/>
              </w:rPr>
            </w:pPr>
            <w:r w:rsidRPr="00FD1E8A">
              <w:rPr>
                <w:b/>
                <w:lang w:val="el-GR"/>
              </w:rPr>
              <w:t>2011</w:t>
            </w:r>
          </w:p>
        </w:tc>
      </w:tr>
      <w:tr w:rsidR="004B417C" w:rsidRPr="00415A92">
        <w:trPr>
          <w:trHeight w:hRule="exact" w:val="340"/>
        </w:trPr>
        <w:tc>
          <w:tcPr>
            <w:tcW w:w="5400" w:type="dxa"/>
            <w:vAlign w:val="center"/>
          </w:tcPr>
          <w:p w:rsidR="004B417C" w:rsidRPr="00FD1E8A"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both"/>
              <w:rPr>
                <w:lang w:val="el-GR"/>
              </w:rPr>
            </w:pPr>
            <w:r w:rsidRPr="00FD1E8A">
              <w:rPr>
                <w:lang w:val="el-GR"/>
              </w:rPr>
              <w:t>Εντός ενός έτους</w:t>
            </w:r>
          </w:p>
        </w:tc>
        <w:tc>
          <w:tcPr>
            <w:tcW w:w="1121" w:type="dxa"/>
            <w:tcBorders>
              <w:top w:val="single" w:sz="4" w:space="0" w:color="auto"/>
            </w:tcBorders>
            <w:vAlign w:val="center"/>
          </w:tcPr>
          <w:p w:rsidR="004B417C" w:rsidRPr="00FD1E8A" w:rsidRDefault="004B417C">
            <w:pPr>
              <w:spacing w:line="240" w:lineRule="auto"/>
              <w:jc w:val="right"/>
              <w:rPr>
                <w:bCs/>
                <w:lang w:val="el-GR"/>
              </w:rPr>
            </w:pPr>
            <w:r w:rsidRPr="00FD1E8A">
              <w:rPr>
                <w:bCs/>
                <w:lang w:val="el-GR"/>
              </w:rPr>
              <w:t>(9.379)</w:t>
            </w:r>
          </w:p>
        </w:tc>
        <w:tc>
          <w:tcPr>
            <w:tcW w:w="254" w:type="dxa"/>
            <w:vAlign w:val="center"/>
          </w:tcPr>
          <w:p w:rsidR="004B417C" w:rsidRPr="00FD1E8A" w:rsidRDefault="004B417C">
            <w:pPr>
              <w:spacing w:line="240" w:lineRule="auto"/>
              <w:jc w:val="right"/>
              <w:rPr>
                <w:bCs/>
                <w:lang w:val="el-GR"/>
              </w:rPr>
            </w:pPr>
          </w:p>
        </w:tc>
        <w:tc>
          <w:tcPr>
            <w:tcW w:w="1145" w:type="dxa"/>
            <w:tcBorders>
              <w:top w:val="single" w:sz="4" w:space="0" w:color="auto"/>
            </w:tcBorders>
            <w:vAlign w:val="center"/>
          </w:tcPr>
          <w:p w:rsidR="004B417C" w:rsidRPr="00FD1E8A" w:rsidRDefault="004B417C">
            <w:pPr>
              <w:spacing w:line="240" w:lineRule="auto"/>
              <w:jc w:val="right"/>
              <w:rPr>
                <w:bCs/>
                <w:lang w:val="el-GR"/>
              </w:rPr>
            </w:pPr>
            <w:r w:rsidRPr="00FD1E8A">
              <w:rPr>
                <w:bCs/>
                <w:lang w:val="el-GR"/>
              </w:rPr>
              <w:t>(6.227)</w:t>
            </w:r>
          </w:p>
        </w:tc>
      </w:tr>
      <w:tr w:rsidR="004B417C" w:rsidRPr="00415A92">
        <w:trPr>
          <w:trHeight w:hRule="exact" w:val="170"/>
        </w:trPr>
        <w:tc>
          <w:tcPr>
            <w:tcW w:w="5400" w:type="dxa"/>
            <w:vAlign w:val="center"/>
          </w:tcPr>
          <w:p w:rsidR="004B417C" w:rsidRPr="00FD1E8A" w:rsidRDefault="004B417C">
            <w:pPr>
              <w:spacing w:line="240" w:lineRule="auto"/>
              <w:jc w:val="both"/>
              <w:rPr>
                <w:lang w:val="el-GR"/>
              </w:rPr>
            </w:pPr>
          </w:p>
        </w:tc>
        <w:tc>
          <w:tcPr>
            <w:tcW w:w="1121" w:type="dxa"/>
            <w:vAlign w:val="center"/>
          </w:tcPr>
          <w:p w:rsidR="004B417C" w:rsidRPr="00FD1E8A" w:rsidRDefault="004B417C">
            <w:pPr>
              <w:spacing w:line="240" w:lineRule="auto"/>
              <w:jc w:val="right"/>
              <w:rPr>
                <w:bCs/>
                <w:lang w:val="el-GR"/>
              </w:rPr>
            </w:pPr>
          </w:p>
        </w:tc>
        <w:tc>
          <w:tcPr>
            <w:tcW w:w="254" w:type="dxa"/>
            <w:vAlign w:val="center"/>
          </w:tcPr>
          <w:p w:rsidR="004B417C" w:rsidRPr="00FD1E8A" w:rsidRDefault="004B417C">
            <w:pPr>
              <w:spacing w:line="240" w:lineRule="auto"/>
              <w:jc w:val="right"/>
              <w:rPr>
                <w:bCs/>
                <w:lang w:val="el-GR"/>
              </w:rPr>
            </w:pPr>
          </w:p>
        </w:tc>
        <w:tc>
          <w:tcPr>
            <w:tcW w:w="1145" w:type="dxa"/>
            <w:vAlign w:val="center"/>
          </w:tcPr>
          <w:p w:rsidR="004B417C" w:rsidRPr="00FD1E8A" w:rsidRDefault="004B417C">
            <w:pPr>
              <w:spacing w:line="240" w:lineRule="auto"/>
              <w:jc w:val="right"/>
              <w:rPr>
                <w:bCs/>
                <w:lang w:val="el-GR"/>
              </w:rPr>
            </w:pPr>
          </w:p>
        </w:tc>
      </w:tr>
      <w:tr w:rsidR="004B417C" w:rsidRPr="00415A92">
        <w:trPr>
          <w:trHeight w:hRule="exact" w:val="340"/>
        </w:trPr>
        <w:tc>
          <w:tcPr>
            <w:tcW w:w="5400" w:type="dxa"/>
            <w:vAlign w:val="center"/>
          </w:tcPr>
          <w:p w:rsidR="004B417C" w:rsidRPr="00FD1E8A" w:rsidRDefault="004B417C">
            <w:pPr>
              <w:spacing w:line="240" w:lineRule="auto"/>
              <w:jc w:val="both"/>
              <w:rPr>
                <w:lang w:val="el-GR"/>
              </w:rPr>
            </w:pPr>
            <w:r w:rsidRPr="00FD1E8A">
              <w:rPr>
                <w:lang w:val="el-GR"/>
              </w:rPr>
              <w:t>Από ένα έως πέντε έτη</w:t>
            </w:r>
          </w:p>
        </w:tc>
        <w:tc>
          <w:tcPr>
            <w:tcW w:w="1121" w:type="dxa"/>
            <w:vAlign w:val="center"/>
          </w:tcPr>
          <w:p w:rsidR="004B417C" w:rsidRPr="00FD1E8A" w:rsidRDefault="004B417C">
            <w:pPr>
              <w:spacing w:line="240" w:lineRule="auto"/>
              <w:jc w:val="right"/>
              <w:rPr>
                <w:bCs/>
                <w:lang w:val="el-GR"/>
              </w:rPr>
            </w:pPr>
            <w:r w:rsidRPr="00FD1E8A">
              <w:rPr>
                <w:bCs/>
                <w:lang w:val="el-GR"/>
              </w:rPr>
              <w:t>(30.329)</w:t>
            </w:r>
          </w:p>
        </w:tc>
        <w:tc>
          <w:tcPr>
            <w:tcW w:w="254" w:type="dxa"/>
            <w:vAlign w:val="center"/>
          </w:tcPr>
          <w:p w:rsidR="004B417C" w:rsidRPr="00FD1E8A" w:rsidRDefault="004B417C">
            <w:pPr>
              <w:spacing w:line="240" w:lineRule="auto"/>
              <w:jc w:val="right"/>
              <w:rPr>
                <w:bCs/>
                <w:lang w:val="el-GR"/>
              </w:rPr>
            </w:pPr>
          </w:p>
        </w:tc>
        <w:tc>
          <w:tcPr>
            <w:tcW w:w="1145" w:type="dxa"/>
            <w:vAlign w:val="center"/>
          </w:tcPr>
          <w:p w:rsidR="004B417C" w:rsidRPr="00FD1E8A" w:rsidRDefault="004B417C">
            <w:pPr>
              <w:spacing w:line="240" w:lineRule="auto"/>
              <w:jc w:val="right"/>
              <w:rPr>
                <w:bCs/>
                <w:lang w:val="el-GR"/>
              </w:rPr>
            </w:pPr>
            <w:r w:rsidRPr="00FD1E8A">
              <w:rPr>
                <w:bCs/>
                <w:lang w:val="el-GR"/>
              </w:rPr>
              <w:t>(15.499)</w:t>
            </w:r>
          </w:p>
        </w:tc>
      </w:tr>
      <w:tr w:rsidR="004B417C" w:rsidRPr="00415A92">
        <w:trPr>
          <w:trHeight w:hRule="exact" w:val="170"/>
        </w:trPr>
        <w:tc>
          <w:tcPr>
            <w:tcW w:w="5400" w:type="dxa"/>
            <w:vAlign w:val="center"/>
          </w:tcPr>
          <w:p w:rsidR="004B417C" w:rsidRPr="00FD1E8A" w:rsidRDefault="004B417C">
            <w:pPr>
              <w:spacing w:line="240" w:lineRule="auto"/>
              <w:jc w:val="both"/>
              <w:rPr>
                <w:lang w:val="el-GR"/>
              </w:rPr>
            </w:pPr>
          </w:p>
        </w:tc>
        <w:tc>
          <w:tcPr>
            <w:tcW w:w="1121" w:type="dxa"/>
            <w:vAlign w:val="center"/>
          </w:tcPr>
          <w:p w:rsidR="004B417C" w:rsidRPr="00FD1E8A" w:rsidRDefault="004B417C">
            <w:pPr>
              <w:spacing w:line="240" w:lineRule="auto"/>
              <w:jc w:val="right"/>
              <w:rPr>
                <w:bCs/>
                <w:lang w:val="el-GR"/>
              </w:rPr>
            </w:pPr>
          </w:p>
        </w:tc>
        <w:tc>
          <w:tcPr>
            <w:tcW w:w="254" w:type="dxa"/>
            <w:vAlign w:val="center"/>
          </w:tcPr>
          <w:p w:rsidR="004B417C" w:rsidRPr="00FD1E8A" w:rsidRDefault="004B417C">
            <w:pPr>
              <w:spacing w:line="240" w:lineRule="auto"/>
              <w:jc w:val="right"/>
              <w:rPr>
                <w:bCs/>
                <w:lang w:val="el-GR"/>
              </w:rPr>
            </w:pPr>
          </w:p>
        </w:tc>
        <w:tc>
          <w:tcPr>
            <w:tcW w:w="1145" w:type="dxa"/>
            <w:vAlign w:val="center"/>
          </w:tcPr>
          <w:p w:rsidR="004B417C" w:rsidRPr="00FD1E8A" w:rsidRDefault="004B417C">
            <w:pPr>
              <w:spacing w:line="240" w:lineRule="auto"/>
              <w:jc w:val="right"/>
              <w:rPr>
                <w:bCs/>
                <w:lang w:val="el-GR"/>
              </w:rPr>
            </w:pPr>
          </w:p>
        </w:tc>
      </w:tr>
      <w:tr w:rsidR="004B417C" w:rsidRPr="00415A92">
        <w:trPr>
          <w:trHeight w:hRule="exact" w:val="340"/>
        </w:trPr>
        <w:tc>
          <w:tcPr>
            <w:tcW w:w="5400" w:type="dxa"/>
            <w:vAlign w:val="center"/>
          </w:tcPr>
          <w:p w:rsidR="004B417C" w:rsidRPr="00FD1E8A" w:rsidRDefault="004B417C">
            <w:pPr>
              <w:spacing w:line="240" w:lineRule="auto"/>
              <w:jc w:val="both"/>
              <w:rPr>
                <w:lang w:val="el-GR"/>
              </w:rPr>
            </w:pPr>
            <w:r w:rsidRPr="00FD1E8A">
              <w:rPr>
                <w:lang w:val="el-GR"/>
              </w:rPr>
              <w:t>Άνω των πέντε ετών</w:t>
            </w:r>
          </w:p>
        </w:tc>
        <w:tc>
          <w:tcPr>
            <w:tcW w:w="1121" w:type="dxa"/>
            <w:tcBorders>
              <w:bottom w:val="single" w:sz="4" w:space="0" w:color="auto"/>
            </w:tcBorders>
            <w:vAlign w:val="center"/>
          </w:tcPr>
          <w:p w:rsidR="004B417C" w:rsidRPr="00FD1E8A" w:rsidRDefault="004B417C">
            <w:pPr>
              <w:spacing w:line="240" w:lineRule="auto"/>
              <w:jc w:val="right"/>
              <w:rPr>
                <w:bCs/>
                <w:lang w:val="el-GR"/>
              </w:rPr>
            </w:pPr>
            <w:r w:rsidRPr="00FD1E8A">
              <w:rPr>
                <w:bCs/>
                <w:lang w:val="el-GR"/>
              </w:rPr>
              <w:t>(41.441)</w:t>
            </w:r>
          </w:p>
        </w:tc>
        <w:tc>
          <w:tcPr>
            <w:tcW w:w="254" w:type="dxa"/>
            <w:vAlign w:val="center"/>
          </w:tcPr>
          <w:p w:rsidR="004B417C" w:rsidRPr="00FD1E8A" w:rsidRDefault="004B417C">
            <w:pPr>
              <w:spacing w:line="240" w:lineRule="auto"/>
              <w:jc w:val="right"/>
              <w:rPr>
                <w:bCs/>
                <w:lang w:val="el-GR"/>
              </w:rPr>
            </w:pPr>
          </w:p>
        </w:tc>
        <w:tc>
          <w:tcPr>
            <w:tcW w:w="1145" w:type="dxa"/>
            <w:tcBorders>
              <w:bottom w:val="single" w:sz="4" w:space="0" w:color="auto"/>
            </w:tcBorders>
            <w:vAlign w:val="center"/>
          </w:tcPr>
          <w:p w:rsidR="004B417C" w:rsidRPr="00FD1E8A" w:rsidRDefault="004B417C">
            <w:pPr>
              <w:spacing w:line="240" w:lineRule="auto"/>
              <w:jc w:val="right"/>
              <w:rPr>
                <w:bCs/>
                <w:lang w:val="el-GR"/>
              </w:rPr>
            </w:pPr>
            <w:r w:rsidRPr="00FD1E8A">
              <w:rPr>
                <w:bCs/>
                <w:lang w:val="el-GR"/>
              </w:rPr>
              <w:t>(16.649)</w:t>
            </w:r>
          </w:p>
        </w:tc>
      </w:tr>
      <w:tr w:rsidR="004B417C" w:rsidRPr="00415A92">
        <w:trPr>
          <w:trHeight w:hRule="exact" w:val="340"/>
        </w:trPr>
        <w:tc>
          <w:tcPr>
            <w:tcW w:w="5400" w:type="dxa"/>
            <w:vAlign w:val="center"/>
          </w:tcPr>
          <w:p w:rsidR="004B417C" w:rsidRPr="00FD1E8A" w:rsidRDefault="004B417C">
            <w:pPr>
              <w:spacing w:line="240" w:lineRule="auto"/>
              <w:jc w:val="both"/>
              <w:rPr>
                <w:lang w:val="el-GR"/>
              </w:rPr>
            </w:pPr>
          </w:p>
          <w:p w:rsidR="004B417C" w:rsidRPr="00FD1E8A" w:rsidRDefault="004B417C">
            <w:pPr>
              <w:spacing w:line="240" w:lineRule="auto"/>
              <w:jc w:val="both"/>
              <w:rPr>
                <w:lang w:val="el-GR"/>
              </w:rPr>
            </w:pPr>
          </w:p>
          <w:p w:rsidR="004B417C" w:rsidRPr="00FD1E8A" w:rsidRDefault="004B417C">
            <w:pPr>
              <w:spacing w:line="240" w:lineRule="auto"/>
              <w:jc w:val="both"/>
              <w:rPr>
                <w:lang w:val="el-GR"/>
              </w:rPr>
            </w:pPr>
          </w:p>
        </w:tc>
        <w:tc>
          <w:tcPr>
            <w:tcW w:w="1121" w:type="dxa"/>
            <w:tcBorders>
              <w:top w:val="single" w:sz="4" w:space="0" w:color="auto"/>
              <w:bottom w:val="double" w:sz="4" w:space="0" w:color="auto"/>
            </w:tcBorders>
            <w:vAlign w:val="center"/>
          </w:tcPr>
          <w:p w:rsidR="004B417C" w:rsidRPr="00FD1E8A" w:rsidRDefault="004B417C">
            <w:pPr>
              <w:spacing w:line="240" w:lineRule="auto"/>
              <w:jc w:val="right"/>
              <w:rPr>
                <w:b/>
                <w:bCs/>
                <w:lang w:val="el-GR"/>
              </w:rPr>
            </w:pPr>
            <w:r w:rsidRPr="00FD1E8A">
              <w:rPr>
                <w:b/>
                <w:bCs/>
                <w:lang w:val="el-GR"/>
              </w:rPr>
              <w:t>(81.149)</w:t>
            </w:r>
          </w:p>
        </w:tc>
        <w:tc>
          <w:tcPr>
            <w:tcW w:w="254" w:type="dxa"/>
            <w:vAlign w:val="center"/>
          </w:tcPr>
          <w:p w:rsidR="004B417C" w:rsidRPr="00FD1E8A" w:rsidRDefault="004B417C">
            <w:pPr>
              <w:spacing w:line="240" w:lineRule="auto"/>
              <w:jc w:val="right"/>
              <w:rPr>
                <w:b/>
                <w:bCs/>
                <w:lang w:val="el-GR"/>
              </w:rPr>
            </w:pPr>
          </w:p>
        </w:tc>
        <w:tc>
          <w:tcPr>
            <w:tcW w:w="1145" w:type="dxa"/>
            <w:tcBorders>
              <w:top w:val="single" w:sz="4" w:space="0" w:color="auto"/>
              <w:bottom w:val="double" w:sz="4" w:space="0" w:color="auto"/>
            </w:tcBorders>
            <w:vAlign w:val="center"/>
          </w:tcPr>
          <w:p w:rsidR="004B417C" w:rsidRPr="00FD1E8A" w:rsidRDefault="004B417C">
            <w:pPr>
              <w:spacing w:line="240" w:lineRule="auto"/>
              <w:jc w:val="right"/>
              <w:rPr>
                <w:b/>
                <w:bCs/>
                <w:lang w:val="el-GR"/>
              </w:rPr>
            </w:pPr>
            <w:r w:rsidRPr="00FD1E8A">
              <w:rPr>
                <w:b/>
                <w:bCs/>
                <w:lang w:val="el-GR"/>
              </w:rPr>
              <w:t>(38.375)</w:t>
            </w:r>
          </w:p>
        </w:tc>
      </w:tr>
    </w:tbl>
    <w:p w:rsidR="004B417C" w:rsidRPr="00415A92"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17"/>
          <w:highlight w:val="yellow"/>
          <w:lang w:val="el-GR"/>
        </w:rPr>
      </w:pPr>
    </w:p>
    <w:p w:rsidR="004B417C" w:rsidRPr="00415A92"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17"/>
          <w:highlight w:val="yellow"/>
          <w:lang w:val="el-GR"/>
        </w:rPr>
      </w:pPr>
    </w:p>
    <w:p w:rsidR="004B417C" w:rsidRPr="00415A92"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17"/>
          <w:highlight w:val="yellow"/>
          <w:lang w:val="el-GR"/>
        </w:rPr>
      </w:pPr>
    </w:p>
    <w:p w:rsidR="004B417C" w:rsidRPr="00126E21"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17"/>
          <w:lang w:val="el-GR"/>
        </w:rPr>
      </w:pPr>
      <w:r w:rsidRPr="00126E21">
        <w:rPr>
          <w:szCs w:val="17"/>
          <w:lang w:val="el-GR"/>
        </w:rPr>
        <w:t>Οι απαιτήσεις από χρηματοδοτικές μισθώσεις βάσει του είδους του μισθωμένου παγίου αναλύονται ως εξής:</w:t>
      </w:r>
    </w:p>
    <w:p w:rsidR="004B417C" w:rsidRPr="00126E21"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17"/>
          <w:lang w:val="el-GR"/>
        </w:rPr>
      </w:pPr>
    </w:p>
    <w:tbl>
      <w:tblPr>
        <w:tblW w:w="8280" w:type="dxa"/>
        <w:tblInd w:w="108" w:type="dxa"/>
        <w:tblLayout w:type="fixed"/>
        <w:tblLook w:val="0000"/>
      </w:tblPr>
      <w:tblGrid>
        <w:gridCol w:w="2880"/>
        <w:gridCol w:w="1260"/>
        <w:gridCol w:w="236"/>
        <w:gridCol w:w="1719"/>
        <w:gridCol w:w="312"/>
        <w:gridCol w:w="253"/>
        <w:gridCol w:w="1620"/>
      </w:tblGrid>
      <w:tr w:rsidR="004B417C" w:rsidRPr="00126E21">
        <w:trPr>
          <w:trHeight w:val="397"/>
        </w:trPr>
        <w:tc>
          <w:tcPr>
            <w:tcW w:w="2880" w:type="dxa"/>
            <w:vAlign w:val="center"/>
          </w:tcPr>
          <w:p w:rsidR="004B417C" w:rsidRPr="00126E21" w:rsidRDefault="004B417C">
            <w:pPr>
              <w:spacing w:line="240" w:lineRule="auto"/>
              <w:jc w:val="both"/>
              <w:rPr>
                <w:sz w:val="20"/>
                <w:lang w:val="el-GR"/>
              </w:rPr>
            </w:pPr>
          </w:p>
        </w:tc>
        <w:tc>
          <w:tcPr>
            <w:tcW w:w="1260" w:type="dxa"/>
            <w:vAlign w:val="center"/>
          </w:tcPr>
          <w:p w:rsidR="004B417C" w:rsidRPr="00126E21" w:rsidRDefault="004B417C">
            <w:pPr>
              <w:spacing w:line="240" w:lineRule="auto"/>
              <w:jc w:val="center"/>
              <w:rPr>
                <w:b/>
                <w:sz w:val="20"/>
                <w:lang w:val="el-GR"/>
              </w:rPr>
            </w:pPr>
          </w:p>
        </w:tc>
        <w:tc>
          <w:tcPr>
            <w:tcW w:w="1955" w:type="dxa"/>
            <w:gridSpan w:val="2"/>
            <w:vAlign w:val="center"/>
          </w:tcPr>
          <w:p w:rsidR="004B417C" w:rsidRPr="00126E21" w:rsidRDefault="004B417C">
            <w:pPr>
              <w:spacing w:line="240" w:lineRule="auto"/>
              <w:jc w:val="right"/>
              <w:rPr>
                <w:b/>
                <w:sz w:val="20"/>
                <w:lang w:val="el-GR"/>
              </w:rPr>
            </w:pPr>
            <w:r w:rsidRPr="00126E21">
              <w:rPr>
                <w:b/>
                <w:sz w:val="20"/>
                <w:lang w:val="el-GR"/>
              </w:rPr>
              <w:t>2012</w:t>
            </w:r>
          </w:p>
        </w:tc>
        <w:tc>
          <w:tcPr>
            <w:tcW w:w="312" w:type="dxa"/>
          </w:tcPr>
          <w:p w:rsidR="004B417C" w:rsidRPr="00126E21" w:rsidRDefault="004B417C">
            <w:pPr>
              <w:tabs>
                <w:tab w:val="clear" w:pos="227"/>
                <w:tab w:val="left" w:pos="24"/>
              </w:tabs>
              <w:spacing w:line="240" w:lineRule="auto"/>
              <w:jc w:val="center"/>
              <w:rPr>
                <w:b/>
                <w:sz w:val="20"/>
                <w:lang w:val="el-GR"/>
              </w:rPr>
            </w:pPr>
          </w:p>
        </w:tc>
        <w:tc>
          <w:tcPr>
            <w:tcW w:w="1873" w:type="dxa"/>
            <w:gridSpan w:val="2"/>
            <w:vAlign w:val="center"/>
          </w:tcPr>
          <w:p w:rsidR="004B417C" w:rsidRPr="00126E21" w:rsidRDefault="004B417C">
            <w:pPr>
              <w:spacing w:line="240" w:lineRule="auto"/>
              <w:jc w:val="right"/>
              <w:rPr>
                <w:b/>
                <w:sz w:val="20"/>
                <w:lang w:val="el-GR"/>
              </w:rPr>
            </w:pPr>
            <w:r w:rsidRPr="00126E21">
              <w:rPr>
                <w:b/>
                <w:sz w:val="20"/>
                <w:lang w:val="el-GR"/>
              </w:rPr>
              <w:t>2011</w:t>
            </w:r>
          </w:p>
        </w:tc>
      </w:tr>
      <w:tr w:rsidR="004B417C" w:rsidRPr="00126E21">
        <w:trPr>
          <w:trHeight w:val="680"/>
        </w:trPr>
        <w:tc>
          <w:tcPr>
            <w:tcW w:w="2880" w:type="dxa"/>
            <w:vAlign w:val="center"/>
          </w:tcPr>
          <w:p w:rsidR="004B417C" w:rsidRPr="00126E21" w:rsidRDefault="004B417C">
            <w:pPr>
              <w:spacing w:line="240" w:lineRule="auto"/>
              <w:jc w:val="both"/>
              <w:rPr>
                <w:sz w:val="20"/>
                <w:lang w:val="el-GR"/>
              </w:rPr>
            </w:pPr>
          </w:p>
        </w:tc>
        <w:tc>
          <w:tcPr>
            <w:tcW w:w="1260" w:type="dxa"/>
            <w:vAlign w:val="center"/>
          </w:tcPr>
          <w:p w:rsidR="004B417C" w:rsidRPr="00126E21" w:rsidRDefault="004B417C">
            <w:pPr>
              <w:spacing w:line="240" w:lineRule="auto"/>
              <w:jc w:val="center"/>
              <w:rPr>
                <w:b/>
                <w:sz w:val="20"/>
                <w:lang w:val="el-GR"/>
              </w:rPr>
            </w:pPr>
            <w:r w:rsidRPr="00126E21">
              <w:rPr>
                <w:b/>
                <w:sz w:val="20"/>
                <w:lang w:val="el-GR"/>
              </w:rPr>
              <w:t>Μέση διάρκεια συμβάσεων</w:t>
            </w:r>
          </w:p>
        </w:tc>
        <w:tc>
          <w:tcPr>
            <w:tcW w:w="236" w:type="dxa"/>
            <w:tcBorders>
              <w:top w:val="single" w:sz="4" w:space="0" w:color="auto"/>
            </w:tcBorders>
            <w:vAlign w:val="center"/>
          </w:tcPr>
          <w:p w:rsidR="004B417C" w:rsidRPr="00126E21" w:rsidRDefault="004B417C">
            <w:pPr>
              <w:spacing w:line="240" w:lineRule="auto"/>
              <w:jc w:val="center"/>
              <w:rPr>
                <w:b/>
                <w:sz w:val="20"/>
                <w:lang w:val="el-GR"/>
              </w:rPr>
            </w:pPr>
          </w:p>
        </w:tc>
        <w:tc>
          <w:tcPr>
            <w:tcW w:w="1719" w:type="dxa"/>
            <w:tcBorders>
              <w:top w:val="single" w:sz="4" w:space="0" w:color="auto"/>
            </w:tcBorders>
            <w:vAlign w:val="center"/>
          </w:tcPr>
          <w:p w:rsidR="004B417C" w:rsidRPr="00126E21" w:rsidRDefault="004B417C">
            <w:pPr>
              <w:spacing w:line="240" w:lineRule="auto"/>
              <w:jc w:val="center"/>
              <w:rPr>
                <w:b/>
                <w:sz w:val="20"/>
                <w:lang w:val="el-GR"/>
              </w:rPr>
            </w:pPr>
            <w:r w:rsidRPr="00126E21">
              <w:rPr>
                <w:b/>
                <w:sz w:val="20"/>
                <w:lang w:val="el-GR"/>
              </w:rPr>
              <w:t>Μελλοντικά μισθώματα</w:t>
            </w:r>
          </w:p>
        </w:tc>
        <w:tc>
          <w:tcPr>
            <w:tcW w:w="312" w:type="dxa"/>
          </w:tcPr>
          <w:p w:rsidR="004B417C" w:rsidRPr="00126E21" w:rsidRDefault="004B417C">
            <w:pPr>
              <w:tabs>
                <w:tab w:val="clear" w:pos="227"/>
                <w:tab w:val="left" w:pos="24"/>
              </w:tabs>
              <w:spacing w:line="240" w:lineRule="auto"/>
              <w:jc w:val="center"/>
              <w:rPr>
                <w:b/>
                <w:sz w:val="20"/>
                <w:lang w:val="el-GR"/>
              </w:rPr>
            </w:pPr>
          </w:p>
        </w:tc>
        <w:tc>
          <w:tcPr>
            <w:tcW w:w="253" w:type="dxa"/>
            <w:tcBorders>
              <w:top w:val="single" w:sz="4" w:space="0" w:color="auto"/>
            </w:tcBorders>
            <w:vAlign w:val="center"/>
          </w:tcPr>
          <w:p w:rsidR="004B417C" w:rsidRPr="00126E21" w:rsidRDefault="004B417C">
            <w:pPr>
              <w:spacing w:line="240" w:lineRule="auto"/>
              <w:jc w:val="center"/>
              <w:rPr>
                <w:b/>
                <w:sz w:val="20"/>
                <w:lang w:val="el-GR"/>
              </w:rPr>
            </w:pPr>
          </w:p>
        </w:tc>
        <w:tc>
          <w:tcPr>
            <w:tcW w:w="1620" w:type="dxa"/>
            <w:tcBorders>
              <w:top w:val="single" w:sz="4" w:space="0" w:color="auto"/>
            </w:tcBorders>
            <w:vAlign w:val="center"/>
          </w:tcPr>
          <w:p w:rsidR="004B417C" w:rsidRPr="00126E21" w:rsidRDefault="004B417C">
            <w:pPr>
              <w:spacing w:line="240" w:lineRule="auto"/>
              <w:jc w:val="center"/>
              <w:rPr>
                <w:b/>
                <w:sz w:val="20"/>
                <w:lang w:val="el-GR"/>
              </w:rPr>
            </w:pPr>
            <w:r w:rsidRPr="00126E21">
              <w:rPr>
                <w:b/>
                <w:sz w:val="20"/>
                <w:lang w:val="el-GR"/>
              </w:rPr>
              <w:t>Μελλοντικά μισθώματα</w:t>
            </w:r>
          </w:p>
        </w:tc>
      </w:tr>
      <w:tr w:rsidR="004B417C" w:rsidRPr="00126E21">
        <w:trPr>
          <w:trHeight w:hRule="exact" w:val="340"/>
        </w:trPr>
        <w:tc>
          <w:tcPr>
            <w:tcW w:w="2880" w:type="dxa"/>
            <w:vAlign w:val="center"/>
          </w:tcPr>
          <w:p w:rsidR="004B417C" w:rsidRPr="00126E21" w:rsidRDefault="004B417C">
            <w:pPr>
              <w:spacing w:line="240" w:lineRule="auto"/>
              <w:jc w:val="both"/>
              <w:rPr>
                <w:szCs w:val="22"/>
                <w:lang w:val="el-GR"/>
              </w:rPr>
            </w:pPr>
            <w:r w:rsidRPr="00126E21">
              <w:rPr>
                <w:szCs w:val="22"/>
                <w:lang w:val="el-GR"/>
              </w:rPr>
              <w:t>Οικόπεδα</w:t>
            </w:r>
          </w:p>
        </w:tc>
        <w:tc>
          <w:tcPr>
            <w:tcW w:w="1260" w:type="dxa"/>
            <w:vAlign w:val="center"/>
          </w:tcPr>
          <w:p w:rsidR="004B417C" w:rsidRPr="00126E21" w:rsidRDefault="004B417C">
            <w:pPr>
              <w:spacing w:line="240" w:lineRule="auto"/>
              <w:jc w:val="center"/>
              <w:rPr>
                <w:szCs w:val="22"/>
                <w:lang w:val="el-GR"/>
              </w:rPr>
            </w:pPr>
            <w:r w:rsidRPr="00126E21">
              <w:rPr>
                <w:szCs w:val="22"/>
                <w:lang w:val="el-GR"/>
              </w:rPr>
              <w:t>10 έως 15</w:t>
            </w:r>
          </w:p>
        </w:tc>
        <w:tc>
          <w:tcPr>
            <w:tcW w:w="236" w:type="dxa"/>
            <w:vAlign w:val="center"/>
          </w:tcPr>
          <w:p w:rsidR="004B417C" w:rsidRPr="00126E21" w:rsidRDefault="004B417C">
            <w:pPr>
              <w:spacing w:line="240" w:lineRule="auto"/>
              <w:jc w:val="right"/>
              <w:rPr>
                <w:szCs w:val="22"/>
                <w:lang w:val="el-GR"/>
              </w:rPr>
            </w:pPr>
          </w:p>
        </w:tc>
        <w:tc>
          <w:tcPr>
            <w:tcW w:w="1719" w:type="dxa"/>
            <w:vAlign w:val="center"/>
          </w:tcPr>
          <w:p w:rsidR="004B417C" w:rsidRPr="00126E21" w:rsidRDefault="004B417C">
            <w:pPr>
              <w:spacing w:line="240" w:lineRule="auto"/>
              <w:jc w:val="right"/>
              <w:rPr>
                <w:szCs w:val="22"/>
                <w:lang w:val="el-GR"/>
              </w:rPr>
            </w:pPr>
            <w:r w:rsidRPr="00126E21">
              <w:rPr>
                <w:szCs w:val="22"/>
                <w:lang w:val="el-GR"/>
              </w:rPr>
              <w:t>256.658</w:t>
            </w:r>
          </w:p>
        </w:tc>
        <w:tc>
          <w:tcPr>
            <w:tcW w:w="312" w:type="dxa"/>
          </w:tcPr>
          <w:p w:rsidR="004B417C" w:rsidRPr="00126E21" w:rsidRDefault="004B417C">
            <w:pPr>
              <w:spacing w:line="240" w:lineRule="auto"/>
              <w:jc w:val="right"/>
              <w:rPr>
                <w:szCs w:val="22"/>
                <w:lang w:val="el-GR"/>
              </w:rPr>
            </w:pPr>
          </w:p>
        </w:tc>
        <w:tc>
          <w:tcPr>
            <w:tcW w:w="253" w:type="dxa"/>
            <w:vAlign w:val="center"/>
          </w:tcPr>
          <w:p w:rsidR="004B417C" w:rsidRPr="00126E21" w:rsidRDefault="004B417C">
            <w:pPr>
              <w:spacing w:line="240" w:lineRule="auto"/>
              <w:jc w:val="right"/>
              <w:rPr>
                <w:szCs w:val="22"/>
                <w:lang w:val="el-GR"/>
              </w:rPr>
            </w:pPr>
          </w:p>
        </w:tc>
        <w:tc>
          <w:tcPr>
            <w:tcW w:w="1620" w:type="dxa"/>
            <w:vAlign w:val="center"/>
          </w:tcPr>
          <w:p w:rsidR="004B417C" w:rsidRPr="00126E21" w:rsidRDefault="004B417C">
            <w:pPr>
              <w:spacing w:line="240" w:lineRule="auto"/>
              <w:jc w:val="right"/>
              <w:rPr>
                <w:szCs w:val="22"/>
                <w:lang w:val="el-GR"/>
              </w:rPr>
            </w:pPr>
            <w:r w:rsidRPr="00126E21">
              <w:rPr>
                <w:szCs w:val="22"/>
                <w:lang w:val="el-GR"/>
              </w:rPr>
              <w:t>247.805</w:t>
            </w:r>
          </w:p>
          <w:p w:rsidR="004B417C" w:rsidRPr="00126E21" w:rsidRDefault="004B417C">
            <w:pPr>
              <w:spacing w:line="240" w:lineRule="auto"/>
              <w:jc w:val="right"/>
              <w:rPr>
                <w:szCs w:val="22"/>
                <w:lang w:val="el-GR"/>
              </w:rPr>
            </w:pPr>
          </w:p>
        </w:tc>
      </w:tr>
      <w:tr w:rsidR="004B417C" w:rsidRPr="00126E21">
        <w:trPr>
          <w:trHeight w:hRule="exact" w:val="340"/>
        </w:trPr>
        <w:tc>
          <w:tcPr>
            <w:tcW w:w="2880" w:type="dxa"/>
            <w:vAlign w:val="center"/>
          </w:tcPr>
          <w:p w:rsidR="004B417C" w:rsidRPr="00126E21" w:rsidRDefault="004B417C">
            <w:pPr>
              <w:spacing w:line="240" w:lineRule="auto"/>
              <w:jc w:val="both"/>
              <w:rPr>
                <w:szCs w:val="22"/>
                <w:lang w:val="el-GR"/>
              </w:rPr>
            </w:pPr>
            <w:r w:rsidRPr="00126E21">
              <w:rPr>
                <w:szCs w:val="22"/>
                <w:lang w:val="el-GR"/>
              </w:rPr>
              <w:t>Μηχανήματα</w:t>
            </w:r>
          </w:p>
        </w:tc>
        <w:tc>
          <w:tcPr>
            <w:tcW w:w="1260" w:type="dxa"/>
            <w:vAlign w:val="center"/>
          </w:tcPr>
          <w:p w:rsidR="004B417C" w:rsidRPr="00126E21" w:rsidRDefault="004B417C">
            <w:pPr>
              <w:spacing w:line="240" w:lineRule="auto"/>
              <w:jc w:val="center"/>
              <w:rPr>
                <w:szCs w:val="22"/>
                <w:lang w:val="el-GR"/>
              </w:rPr>
            </w:pPr>
            <w:r w:rsidRPr="00126E21">
              <w:rPr>
                <w:szCs w:val="22"/>
                <w:lang w:val="el-GR"/>
              </w:rPr>
              <w:t>3 έως 5</w:t>
            </w:r>
          </w:p>
        </w:tc>
        <w:tc>
          <w:tcPr>
            <w:tcW w:w="236" w:type="dxa"/>
            <w:vAlign w:val="center"/>
          </w:tcPr>
          <w:p w:rsidR="004B417C" w:rsidRPr="00126E21" w:rsidRDefault="004B417C">
            <w:pPr>
              <w:spacing w:line="240" w:lineRule="auto"/>
              <w:jc w:val="right"/>
              <w:rPr>
                <w:szCs w:val="22"/>
                <w:lang w:val="el-GR"/>
              </w:rPr>
            </w:pPr>
          </w:p>
        </w:tc>
        <w:tc>
          <w:tcPr>
            <w:tcW w:w="1719" w:type="dxa"/>
            <w:vAlign w:val="center"/>
          </w:tcPr>
          <w:p w:rsidR="004B417C" w:rsidRPr="00126E21" w:rsidRDefault="004B417C">
            <w:pPr>
              <w:spacing w:line="240" w:lineRule="auto"/>
              <w:jc w:val="right"/>
              <w:rPr>
                <w:szCs w:val="22"/>
                <w:lang w:val="el-GR"/>
              </w:rPr>
            </w:pPr>
            <w:r w:rsidRPr="00126E21">
              <w:rPr>
                <w:szCs w:val="22"/>
                <w:lang w:val="el-GR"/>
              </w:rPr>
              <w:t>119.908</w:t>
            </w:r>
          </w:p>
        </w:tc>
        <w:tc>
          <w:tcPr>
            <w:tcW w:w="312" w:type="dxa"/>
          </w:tcPr>
          <w:p w:rsidR="004B417C" w:rsidRPr="00126E21" w:rsidRDefault="004B417C">
            <w:pPr>
              <w:spacing w:line="240" w:lineRule="auto"/>
              <w:jc w:val="right"/>
              <w:rPr>
                <w:szCs w:val="22"/>
                <w:lang w:val="el-GR"/>
              </w:rPr>
            </w:pPr>
          </w:p>
        </w:tc>
        <w:tc>
          <w:tcPr>
            <w:tcW w:w="253" w:type="dxa"/>
            <w:vAlign w:val="center"/>
          </w:tcPr>
          <w:p w:rsidR="004B417C" w:rsidRPr="00126E21" w:rsidRDefault="004B417C">
            <w:pPr>
              <w:spacing w:line="240" w:lineRule="auto"/>
              <w:jc w:val="right"/>
              <w:rPr>
                <w:szCs w:val="22"/>
                <w:lang w:val="el-GR"/>
              </w:rPr>
            </w:pPr>
          </w:p>
        </w:tc>
        <w:tc>
          <w:tcPr>
            <w:tcW w:w="1620" w:type="dxa"/>
            <w:vAlign w:val="center"/>
          </w:tcPr>
          <w:p w:rsidR="004B417C" w:rsidRPr="00126E21" w:rsidRDefault="004B417C">
            <w:pPr>
              <w:spacing w:line="240" w:lineRule="auto"/>
              <w:jc w:val="right"/>
              <w:rPr>
                <w:szCs w:val="22"/>
                <w:lang w:val="el-GR"/>
              </w:rPr>
            </w:pPr>
            <w:r w:rsidRPr="00126E21">
              <w:rPr>
                <w:szCs w:val="22"/>
                <w:lang w:val="el-GR"/>
              </w:rPr>
              <w:t>77.959</w:t>
            </w:r>
          </w:p>
          <w:p w:rsidR="004B417C" w:rsidRPr="00126E21" w:rsidRDefault="004B417C">
            <w:pPr>
              <w:spacing w:line="240" w:lineRule="auto"/>
              <w:jc w:val="right"/>
              <w:rPr>
                <w:szCs w:val="22"/>
                <w:lang w:val="el-GR"/>
              </w:rPr>
            </w:pPr>
          </w:p>
        </w:tc>
      </w:tr>
      <w:tr w:rsidR="004B417C" w:rsidRPr="00126E21">
        <w:trPr>
          <w:trHeight w:hRule="exact" w:val="340"/>
        </w:trPr>
        <w:tc>
          <w:tcPr>
            <w:tcW w:w="2880" w:type="dxa"/>
            <w:vAlign w:val="center"/>
          </w:tcPr>
          <w:p w:rsidR="004B417C" w:rsidRPr="00126E21" w:rsidRDefault="004B417C">
            <w:pPr>
              <w:spacing w:line="240" w:lineRule="auto"/>
              <w:jc w:val="both"/>
              <w:rPr>
                <w:szCs w:val="22"/>
                <w:lang w:val="el-GR"/>
              </w:rPr>
            </w:pPr>
            <w:r w:rsidRPr="00126E21">
              <w:rPr>
                <w:szCs w:val="22"/>
                <w:lang w:val="el-GR"/>
              </w:rPr>
              <w:t>Μεταφορικά Μέσα</w:t>
            </w:r>
          </w:p>
        </w:tc>
        <w:tc>
          <w:tcPr>
            <w:tcW w:w="1260" w:type="dxa"/>
            <w:vAlign w:val="center"/>
          </w:tcPr>
          <w:p w:rsidR="004B417C" w:rsidRPr="00126E21" w:rsidRDefault="004B417C">
            <w:pPr>
              <w:spacing w:line="240" w:lineRule="auto"/>
              <w:jc w:val="center"/>
              <w:rPr>
                <w:szCs w:val="22"/>
                <w:lang w:val="el-GR"/>
              </w:rPr>
            </w:pPr>
            <w:r w:rsidRPr="00126E21">
              <w:rPr>
                <w:szCs w:val="22"/>
                <w:lang w:val="el-GR"/>
              </w:rPr>
              <w:t>3 έως 5</w:t>
            </w:r>
          </w:p>
        </w:tc>
        <w:tc>
          <w:tcPr>
            <w:tcW w:w="236" w:type="dxa"/>
            <w:vAlign w:val="center"/>
          </w:tcPr>
          <w:p w:rsidR="004B417C" w:rsidRPr="00126E21" w:rsidRDefault="004B417C">
            <w:pPr>
              <w:spacing w:line="240" w:lineRule="auto"/>
              <w:jc w:val="right"/>
              <w:rPr>
                <w:szCs w:val="22"/>
                <w:lang w:val="el-GR"/>
              </w:rPr>
            </w:pPr>
          </w:p>
        </w:tc>
        <w:tc>
          <w:tcPr>
            <w:tcW w:w="1719" w:type="dxa"/>
            <w:vAlign w:val="center"/>
          </w:tcPr>
          <w:p w:rsidR="004B417C" w:rsidRPr="00126E21" w:rsidRDefault="004B417C">
            <w:pPr>
              <w:spacing w:line="240" w:lineRule="auto"/>
              <w:jc w:val="right"/>
              <w:rPr>
                <w:szCs w:val="22"/>
                <w:lang w:val="el-GR"/>
              </w:rPr>
            </w:pPr>
            <w:r w:rsidRPr="00126E21">
              <w:rPr>
                <w:szCs w:val="22"/>
                <w:lang w:val="el-GR"/>
              </w:rPr>
              <w:t>37.424</w:t>
            </w:r>
          </w:p>
        </w:tc>
        <w:tc>
          <w:tcPr>
            <w:tcW w:w="312" w:type="dxa"/>
          </w:tcPr>
          <w:p w:rsidR="004B417C" w:rsidRPr="00126E21" w:rsidRDefault="004B417C">
            <w:pPr>
              <w:spacing w:line="240" w:lineRule="auto"/>
              <w:jc w:val="right"/>
              <w:rPr>
                <w:szCs w:val="22"/>
                <w:lang w:val="el-GR"/>
              </w:rPr>
            </w:pPr>
          </w:p>
        </w:tc>
        <w:tc>
          <w:tcPr>
            <w:tcW w:w="253" w:type="dxa"/>
            <w:vAlign w:val="center"/>
          </w:tcPr>
          <w:p w:rsidR="004B417C" w:rsidRPr="00126E21" w:rsidRDefault="004B417C">
            <w:pPr>
              <w:spacing w:line="240" w:lineRule="auto"/>
              <w:jc w:val="right"/>
              <w:rPr>
                <w:szCs w:val="22"/>
                <w:lang w:val="el-GR"/>
              </w:rPr>
            </w:pPr>
          </w:p>
        </w:tc>
        <w:tc>
          <w:tcPr>
            <w:tcW w:w="1620" w:type="dxa"/>
            <w:vAlign w:val="center"/>
          </w:tcPr>
          <w:p w:rsidR="004B417C" w:rsidRPr="00126E21" w:rsidRDefault="004B417C">
            <w:pPr>
              <w:spacing w:line="240" w:lineRule="auto"/>
              <w:jc w:val="right"/>
              <w:rPr>
                <w:szCs w:val="22"/>
                <w:lang w:val="el-GR"/>
              </w:rPr>
            </w:pPr>
            <w:r w:rsidRPr="00126E21">
              <w:rPr>
                <w:szCs w:val="22"/>
                <w:lang w:val="el-GR"/>
              </w:rPr>
              <w:t>56.581</w:t>
            </w:r>
          </w:p>
          <w:p w:rsidR="004B417C" w:rsidRPr="00126E21" w:rsidRDefault="004B417C">
            <w:pPr>
              <w:spacing w:line="240" w:lineRule="auto"/>
              <w:jc w:val="right"/>
              <w:rPr>
                <w:szCs w:val="22"/>
                <w:lang w:val="el-GR"/>
              </w:rPr>
            </w:pPr>
          </w:p>
        </w:tc>
      </w:tr>
      <w:tr w:rsidR="004B417C" w:rsidRPr="00126E21">
        <w:trPr>
          <w:trHeight w:hRule="exact" w:val="454"/>
        </w:trPr>
        <w:tc>
          <w:tcPr>
            <w:tcW w:w="2880" w:type="dxa"/>
            <w:vAlign w:val="center"/>
          </w:tcPr>
          <w:p w:rsidR="004B417C" w:rsidRPr="00126E21" w:rsidRDefault="004B417C">
            <w:pPr>
              <w:spacing w:line="240" w:lineRule="auto"/>
              <w:jc w:val="both"/>
              <w:rPr>
                <w:szCs w:val="22"/>
                <w:lang w:val="el-GR"/>
              </w:rPr>
            </w:pPr>
            <w:r w:rsidRPr="00126E21">
              <w:rPr>
                <w:szCs w:val="22"/>
                <w:lang w:val="el-GR"/>
              </w:rPr>
              <w:t>Τεχνολογικός Εξοπλισμός</w:t>
            </w:r>
          </w:p>
        </w:tc>
        <w:tc>
          <w:tcPr>
            <w:tcW w:w="1260" w:type="dxa"/>
            <w:vAlign w:val="center"/>
          </w:tcPr>
          <w:p w:rsidR="004B417C" w:rsidRPr="00126E21" w:rsidRDefault="004B417C">
            <w:pPr>
              <w:spacing w:line="240" w:lineRule="auto"/>
              <w:jc w:val="center"/>
              <w:rPr>
                <w:szCs w:val="22"/>
                <w:lang w:val="el-GR"/>
              </w:rPr>
            </w:pPr>
            <w:r w:rsidRPr="00126E21">
              <w:rPr>
                <w:szCs w:val="22"/>
                <w:lang w:val="el-GR"/>
              </w:rPr>
              <w:t>3 έως 5</w:t>
            </w:r>
          </w:p>
        </w:tc>
        <w:tc>
          <w:tcPr>
            <w:tcW w:w="236" w:type="dxa"/>
            <w:vAlign w:val="center"/>
          </w:tcPr>
          <w:p w:rsidR="004B417C" w:rsidRPr="00126E21" w:rsidRDefault="004B417C">
            <w:pPr>
              <w:spacing w:line="240" w:lineRule="auto"/>
              <w:jc w:val="right"/>
              <w:rPr>
                <w:szCs w:val="22"/>
                <w:lang w:val="el-GR"/>
              </w:rPr>
            </w:pPr>
          </w:p>
        </w:tc>
        <w:tc>
          <w:tcPr>
            <w:tcW w:w="1719" w:type="dxa"/>
            <w:vAlign w:val="center"/>
          </w:tcPr>
          <w:p w:rsidR="004B417C" w:rsidRPr="00126E21" w:rsidRDefault="004B417C">
            <w:pPr>
              <w:spacing w:line="240" w:lineRule="auto"/>
              <w:jc w:val="right"/>
              <w:rPr>
                <w:szCs w:val="22"/>
                <w:lang w:val="el-GR"/>
              </w:rPr>
            </w:pPr>
            <w:r w:rsidRPr="00126E21">
              <w:rPr>
                <w:szCs w:val="22"/>
                <w:lang w:val="el-GR"/>
              </w:rPr>
              <w:t>18.196</w:t>
            </w:r>
          </w:p>
        </w:tc>
        <w:tc>
          <w:tcPr>
            <w:tcW w:w="312" w:type="dxa"/>
          </w:tcPr>
          <w:p w:rsidR="004B417C" w:rsidRPr="00126E21" w:rsidRDefault="004B417C">
            <w:pPr>
              <w:spacing w:line="240" w:lineRule="auto"/>
              <w:jc w:val="right"/>
              <w:rPr>
                <w:szCs w:val="22"/>
                <w:lang w:val="el-GR"/>
              </w:rPr>
            </w:pPr>
          </w:p>
        </w:tc>
        <w:tc>
          <w:tcPr>
            <w:tcW w:w="253" w:type="dxa"/>
            <w:vAlign w:val="center"/>
          </w:tcPr>
          <w:p w:rsidR="004B417C" w:rsidRPr="00126E21" w:rsidRDefault="004B417C">
            <w:pPr>
              <w:spacing w:line="240" w:lineRule="auto"/>
              <w:jc w:val="right"/>
              <w:rPr>
                <w:szCs w:val="22"/>
                <w:lang w:val="el-GR"/>
              </w:rPr>
            </w:pPr>
          </w:p>
        </w:tc>
        <w:tc>
          <w:tcPr>
            <w:tcW w:w="1620" w:type="dxa"/>
            <w:vAlign w:val="center"/>
          </w:tcPr>
          <w:p w:rsidR="004B417C" w:rsidRPr="00126E21" w:rsidRDefault="004B417C">
            <w:pPr>
              <w:spacing w:line="240" w:lineRule="auto"/>
              <w:jc w:val="right"/>
              <w:rPr>
                <w:szCs w:val="22"/>
                <w:lang w:val="el-GR"/>
              </w:rPr>
            </w:pPr>
            <w:r w:rsidRPr="00126E21">
              <w:rPr>
                <w:szCs w:val="22"/>
                <w:lang w:val="el-GR"/>
              </w:rPr>
              <w:t>23.514</w:t>
            </w:r>
          </w:p>
          <w:p w:rsidR="004B417C" w:rsidRPr="00126E21" w:rsidRDefault="004B417C">
            <w:pPr>
              <w:spacing w:line="240" w:lineRule="auto"/>
              <w:jc w:val="right"/>
              <w:rPr>
                <w:szCs w:val="22"/>
                <w:lang w:val="el-GR"/>
              </w:rPr>
            </w:pPr>
          </w:p>
        </w:tc>
      </w:tr>
      <w:tr w:rsidR="004B417C" w:rsidRPr="00126E21">
        <w:trPr>
          <w:trHeight w:hRule="exact" w:val="340"/>
        </w:trPr>
        <w:tc>
          <w:tcPr>
            <w:tcW w:w="2880" w:type="dxa"/>
            <w:vAlign w:val="center"/>
          </w:tcPr>
          <w:p w:rsidR="004B417C" w:rsidRPr="00126E21" w:rsidRDefault="004B417C">
            <w:pPr>
              <w:spacing w:line="240" w:lineRule="auto"/>
              <w:jc w:val="both"/>
              <w:rPr>
                <w:szCs w:val="22"/>
                <w:lang w:val="el-GR"/>
              </w:rPr>
            </w:pPr>
            <w:r w:rsidRPr="00126E21">
              <w:rPr>
                <w:szCs w:val="22"/>
                <w:lang w:val="el-GR"/>
              </w:rPr>
              <w:t>Λοιπά</w:t>
            </w:r>
          </w:p>
        </w:tc>
        <w:tc>
          <w:tcPr>
            <w:tcW w:w="1260" w:type="dxa"/>
            <w:vAlign w:val="center"/>
          </w:tcPr>
          <w:p w:rsidR="004B417C" w:rsidRPr="00126E21" w:rsidRDefault="004B417C">
            <w:pPr>
              <w:spacing w:line="240" w:lineRule="auto"/>
              <w:jc w:val="center"/>
              <w:rPr>
                <w:szCs w:val="22"/>
                <w:lang w:val="el-GR"/>
              </w:rPr>
            </w:pPr>
            <w:r w:rsidRPr="00126E21">
              <w:rPr>
                <w:szCs w:val="22"/>
                <w:lang w:val="el-GR"/>
              </w:rPr>
              <w:t>3 έως 5</w:t>
            </w:r>
          </w:p>
        </w:tc>
        <w:tc>
          <w:tcPr>
            <w:tcW w:w="236" w:type="dxa"/>
            <w:vAlign w:val="center"/>
          </w:tcPr>
          <w:p w:rsidR="004B417C" w:rsidRPr="00126E21" w:rsidRDefault="004B417C">
            <w:pPr>
              <w:spacing w:line="240" w:lineRule="auto"/>
              <w:jc w:val="right"/>
              <w:rPr>
                <w:szCs w:val="22"/>
                <w:lang w:val="el-GR"/>
              </w:rPr>
            </w:pPr>
          </w:p>
        </w:tc>
        <w:tc>
          <w:tcPr>
            <w:tcW w:w="1719" w:type="dxa"/>
            <w:tcBorders>
              <w:bottom w:val="single" w:sz="4" w:space="0" w:color="auto"/>
            </w:tcBorders>
            <w:vAlign w:val="center"/>
          </w:tcPr>
          <w:p w:rsidR="004B417C" w:rsidRPr="00126E21" w:rsidRDefault="004B417C">
            <w:pPr>
              <w:spacing w:line="240" w:lineRule="auto"/>
              <w:jc w:val="right"/>
              <w:rPr>
                <w:szCs w:val="22"/>
                <w:lang w:val="el-GR"/>
              </w:rPr>
            </w:pPr>
            <w:r w:rsidRPr="00126E21">
              <w:rPr>
                <w:szCs w:val="22"/>
                <w:lang w:val="el-GR"/>
              </w:rPr>
              <w:t>84</w:t>
            </w:r>
          </w:p>
        </w:tc>
        <w:tc>
          <w:tcPr>
            <w:tcW w:w="312" w:type="dxa"/>
          </w:tcPr>
          <w:p w:rsidR="004B417C" w:rsidRPr="00126E21" w:rsidRDefault="004B417C">
            <w:pPr>
              <w:spacing w:line="240" w:lineRule="auto"/>
              <w:jc w:val="right"/>
              <w:rPr>
                <w:szCs w:val="22"/>
                <w:lang w:val="el-GR"/>
              </w:rPr>
            </w:pPr>
          </w:p>
        </w:tc>
        <w:tc>
          <w:tcPr>
            <w:tcW w:w="253" w:type="dxa"/>
            <w:vAlign w:val="center"/>
          </w:tcPr>
          <w:p w:rsidR="004B417C" w:rsidRPr="00126E21" w:rsidRDefault="004B417C">
            <w:pPr>
              <w:spacing w:line="240" w:lineRule="auto"/>
              <w:jc w:val="right"/>
              <w:rPr>
                <w:szCs w:val="22"/>
                <w:lang w:val="el-GR"/>
              </w:rPr>
            </w:pPr>
          </w:p>
        </w:tc>
        <w:tc>
          <w:tcPr>
            <w:tcW w:w="1620" w:type="dxa"/>
            <w:tcBorders>
              <w:bottom w:val="single" w:sz="4" w:space="0" w:color="auto"/>
            </w:tcBorders>
            <w:vAlign w:val="center"/>
          </w:tcPr>
          <w:p w:rsidR="004B417C" w:rsidRPr="00126E21" w:rsidRDefault="004B417C">
            <w:pPr>
              <w:spacing w:line="240" w:lineRule="auto"/>
              <w:jc w:val="right"/>
              <w:rPr>
                <w:szCs w:val="22"/>
                <w:lang w:val="el-GR"/>
              </w:rPr>
            </w:pPr>
            <w:r w:rsidRPr="00126E21">
              <w:rPr>
                <w:szCs w:val="22"/>
                <w:lang w:val="el-GR"/>
              </w:rPr>
              <w:t>84</w:t>
            </w:r>
          </w:p>
          <w:p w:rsidR="004B417C" w:rsidRPr="00126E21" w:rsidRDefault="004B417C">
            <w:pPr>
              <w:spacing w:line="240" w:lineRule="auto"/>
              <w:jc w:val="right"/>
              <w:rPr>
                <w:szCs w:val="22"/>
                <w:lang w:val="el-GR"/>
              </w:rPr>
            </w:pPr>
          </w:p>
        </w:tc>
      </w:tr>
      <w:tr w:rsidR="004B417C">
        <w:trPr>
          <w:trHeight w:hRule="exact" w:val="340"/>
        </w:trPr>
        <w:tc>
          <w:tcPr>
            <w:tcW w:w="2880" w:type="dxa"/>
            <w:vAlign w:val="center"/>
          </w:tcPr>
          <w:p w:rsidR="004B417C" w:rsidRPr="00126E21" w:rsidRDefault="004B417C">
            <w:pPr>
              <w:spacing w:line="240" w:lineRule="auto"/>
              <w:jc w:val="both"/>
              <w:rPr>
                <w:sz w:val="20"/>
                <w:lang w:val="el-GR"/>
              </w:rPr>
            </w:pPr>
          </w:p>
        </w:tc>
        <w:tc>
          <w:tcPr>
            <w:tcW w:w="1260" w:type="dxa"/>
            <w:vAlign w:val="center"/>
          </w:tcPr>
          <w:p w:rsidR="004B417C" w:rsidRPr="00126E21" w:rsidRDefault="004B417C">
            <w:pPr>
              <w:spacing w:line="240" w:lineRule="auto"/>
              <w:jc w:val="right"/>
              <w:rPr>
                <w:b/>
                <w:bCs/>
                <w:sz w:val="20"/>
                <w:lang w:val="el-GR"/>
              </w:rPr>
            </w:pPr>
          </w:p>
        </w:tc>
        <w:tc>
          <w:tcPr>
            <w:tcW w:w="236" w:type="dxa"/>
            <w:vAlign w:val="center"/>
          </w:tcPr>
          <w:p w:rsidR="004B417C" w:rsidRPr="00126E21" w:rsidRDefault="004B417C">
            <w:pPr>
              <w:spacing w:line="240" w:lineRule="auto"/>
              <w:jc w:val="right"/>
              <w:rPr>
                <w:b/>
                <w:bCs/>
                <w:sz w:val="20"/>
                <w:lang w:val="el-GR"/>
              </w:rPr>
            </w:pPr>
          </w:p>
        </w:tc>
        <w:tc>
          <w:tcPr>
            <w:tcW w:w="1719" w:type="dxa"/>
            <w:tcBorders>
              <w:top w:val="single" w:sz="4" w:space="0" w:color="auto"/>
              <w:bottom w:val="double" w:sz="4" w:space="0" w:color="auto"/>
            </w:tcBorders>
            <w:vAlign w:val="center"/>
          </w:tcPr>
          <w:p w:rsidR="004B417C" w:rsidRPr="00126E21" w:rsidRDefault="004B417C">
            <w:pPr>
              <w:spacing w:line="240" w:lineRule="auto"/>
              <w:jc w:val="right"/>
              <w:rPr>
                <w:b/>
                <w:bCs/>
                <w:sz w:val="20"/>
                <w:lang w:val="el-GR"/>
              </w:rPr>
            </w:pPr>
            <w:r w:rsidRPr="00126E21">
              <w:rPr>
                <w:b/>
                <w:bCs/>
                <w:sz w:val="20"/>
                <w:lang w:val="el-GR"/>
              </w:rPr>
              <w:t>432.270</w:t>
            </w:r>
          </w:p>
        </w:tc>
        <w:tc>
          <w:tcPr>
            <w:tcW w:w="312" w:type="dxa"/>
          </w:tcPr>
          <w:p w:rsidR="004B417C" w:rsidRPr="00126E21" w:rsidRDefault="004B417C">
            <w:pPr>
              <w:spacing w:line="240" w:lineRule="auto"/>
              <w:jc w:val="right"/>
              <w:rPr>
                <w:b/>
                <w:bCs/>
                <w:sz w:val="20"/>
                <w:lang w:val="el-GR"/>
              </w:rPr>
            </w:pPr>
          </w:p>
        </w:tc>
        <w:tc>
          <w:tcPr>
            <w:tcW w:w="253" w:type="dxa"/>
            <w:vAlign w:val="center"/>
          </w:tcPr>
          <w:p w:rsidR="004B417C" w:rsidRPr="00126E21" w:rsidRDefault="004B417C">
            <w:pPr>
              <w:spacing w:line="240" w:lineRule="auto"/>
              <w:jc w:val="right"/>
              <w:rPr>
                <w:b/>
                <w:bCs/>
                <w:sz w:val="20"/>
                <w:lang w:val="el-GR"/>
              </w:rPr>
            </w:pPr>
          </w:p>
        </w:tc>
        <w:tc>
          <w:tcPr>
            <w:tcW w:w="1620" w:type="dxa"/>
            <w:tcBorders>
              <w:top w:val="single" w:sz="4" w:space="0" w:color="auto"/>
              <w:bottom w:val="double" w:sz="4" w:space="0" w:color="auto"/>
            </w:tcBorders>
            <w:vAlign w:val="center"/>
          </w:tcPr>
          <w:p w:rsidR="004B417C" w:rsidRDefault="004B417C">
            <w:pPr>
              <w:spacing w:line="240" w:lineRule="auto"/>
              <w:jc w:val="right"/>
              <w:rPr>
                <w:b/>
                <w:bCs/>
                <w:sz w:val="20"/>
                <w:lang w:val="el-GR"/>
              </w:rPr>
            </w:pPr>
            <w:r w:rsidRPr="00126E21">
              <w:rPr>
                <w:b/>
                <w:bCs/>
                <w:sz w:val="20"/>
                <w:lang w:val="el-GR"/>
              </w:rPr>
              <w:t>405.943</w:t>
            </w:r>
          </w:p>
        </w:tc>
      </w:tr>
    </w:tbl>
    <w:p w:rsidR="004B417C" w:rsidRDefault="004B417C">
      <w:pPr>
        <w:spacing w:line="240" w:lineRule="auto"/>
        <w:jc w:val="both"/>
        <w:rPr>
          <w:b/>
          <w:highlight w:val="cyan"/>
          <w:lang w:val="el-GR"/>
        </w:rPr>
      </w:pPr>
    </w:p>
    <w:p w:rsidR="004B417C" w:rsidRDefault="004B417C" w:rsidP="005027E5">
      <w:pPr>
        <w:pStyle w:val="Heading2"/>
        <w:ind w:left="539" w:hanging="539"/>
        <w:rPr>
          <w:lang w:val="el-GR"/>
        </w:rPr>
      </w:pPr>
      <w:bookmarkStart w:id="21" w:name="_Toc128477830"/>
      <w:r>
        <w:rPr>
          <w:lang w:val="el-GR"/>
        </w:rPr>
        <w:t>9.1</w:t>
      </w:r>
      <w:r>
        <w:rPr>
          <w:lang w:val="el-GR"/>
        </w:rPr>
        <w:tab/>
        <w:t>Προβλέψεις για απομείωση απαιτήσεων</w:t>
      </w:r>
      <w:bookmarkEnd w:id="21"/>
    </w:p>
    <w:p w:rsidR="004B417C" w:rsidRDefault="004B417C">
      <w:pPr>
        <w:pStyle w:val="BodyText3"/>
        <w:tabs>
          <w:tab w:val="clear" w:pos="0"/>
          <w:tab w:val="clear" w:pos="227"/>
          <w:tab w:val="clear" w:pos="454"/>
          <w:tab w:val="clear" w:pos="680"/>
          <w:tab w:val="clear" w:pos="864"/>
          <w:tab w:val="clear" w:pos="907"/>
          <w:tab w:val="clear" w:pos="1440"/>
          <w:tab w:val="clear" w:pos="1644"/>
          <w:tab w:val="clear" w:pos="1871"/>
          <w:tab w:val="clear" w:pos="2160"/>
          <w:tab w:val="clear" w:pos="2580"/>
          <w:tab w:val="clear" w:pos="2807"/>
          <w:tab w:val="clear" w:pos="2880"/>
          <w:tab w:val="clear" w:pos="3515"/>
          <w:tab w:val="clear" w:pos="3600"/>
          <w:tab w:val="clear" w:pos="3742"/>
          <w:tab w:val="clear" w:pos="4320"/>
          <w:tab w:val="clear" w:pos="4451"/>
          <w:tab w:val="clear" w:pos="4678"/>
          <w:tab w:val="clear" w:pos="5040"/>
          <w:tab w:val="clear" w:pos="5387"/>
          <w:tab w:val="clear" w:pos="5613"/>
          <w:tab w:val="clear" w:pos="5760"/>
          <w:tab w:val="clear" w:pos="6322"/>
          <w:tab w:val="clear" w:pos="6480"/>
          <w:tab w:val="clear" w:pos="6549"/>
          <w:tab w:val="clear" w:pos="7200"/>
          <w:tab w:val="clear" w:pos="8010"/>
          <w:tab w:val="clear" w:pos="8640"/>
          <w:tab w:val="clear" w:pos="9360"/>
          <w:tab w:val="clear" w:pos="10080"/>
          <w:tab w:val="clear" w:pos="10800"/>
          <w:tab w:val="clear" w:pos="11520"/>
        </w:tabs>
        <w:autoSpaceDE w:val="0"/>
        <w:autoSpaceDN w:val="0"/>
        <w:adjustRightInd w:val="0"/>
        <w:spacing w:line="240" w:lineRule="auto"/>
        <w:rPr>
          <w:szCs w:val="17"/>
          <w:lang w:val="el-GR"/>
        </w:rPr>
      </w:pPr>
    </w:p>
    <w:p w:rsidR="004B417C" w:rsidRDefault="004B417C" w:rsidP="00913F06">
      <w:pPr>
        <w:pStyle w:val="BodyText3"/>
        <w:tabs>
          <w:tab w:val="clear" w:pos="0"/>
          <w:tab w:val="clear" w:pos="227"/>
          <w:tab w:val="clear" w:pos="454"/>
          <w:tab w:val="clear" w:pos="680"/>
          <w:tab w:val="clear" w:pos="864"/>
          <w:tab w:val="clear" w:pos="907"/>
          <w:tab w:val="clear" w:pos="1440"/>
          <w:tab w:val="clear" w:pos="1644"/>
          <w:tab w:val="clear" w:pos="1871"/>
          <w:tab w:val="clear" w:pos="2160"/>
          <w:tab w:val="clear" w:pos="2580"/>
          <w:tab w:val="clear" w:pos="2807"/>
          <w:tab w:val="clear" w:pos="2880"/>
          <w:tab w:val="clear" w:pos="3515"/>
          <w:tab w:val="clear" w:pos="3600"/>
          <w:tab w:val="clear" w:pos="3742"/>
          <w:tab w:val="clear" w:pos="4320"/>
          <w:tab w:val="clear" w:pos="4451"/>
          <w:tab w:val="clear" w:pos="4678"/>
          <w:tab w:val="clear" w:pos="5040"/>
          <w:tab w:val="clear" w:pos="5387"/>
          <w:tab w:val="clear" w:pos="5613"/>
          <w:tab w:val="clear" w:pos="5760"/>
          <w:tab w:val="clear" w:pos="6322"/>
          <w:tab w:val="clear" w:pos="6480"/>
          <w:tab w:val="clear" w:pos="6549"/>
          <w:tab w:val="clear" w:pos="7200"/>
          <w:tab w:val="clear" w:pos="8010"/>
          <w:tab w:val="clear" w:pos="8640"/>
          <w:tab w:val="clear" w:pos="9360"/>
          <w:tab w:val="clear" w:pos="10080"/>
          <w:tab w:val="clear" w:pos="10800"/>
          <w:tab w:val="clear" w:pos="11520"/>
        </w:tabs>
        <w:autoSpaceDE w:val="0"/>
        <w:autoSpaceDN w:val="0"/>
        <w:adjustRightInd w:val="0"/>
        <w:spacing w:line="240" w:lineRule="auto"/>
        <w:rPr>
          <w:szCs w:val="22"/>
          <w:lang w:val="el-GR"/>
        </w:rPr>
      </w:pPr>
      <w:r>
        <w:rPr>
          <w:szCs w:val="17"/>
          <w:lang w:val="el-GR"/>
        </w:rPr>
        <w:t xml:space="preserve">Οι προβλέψεις για την απομείωση απαιτήσεων σχηματίζονται όταν υπάρχουν βάσιμες ενδείξεις ότι δεν θα εισπραχθεί το σύνολο ή μέρος των απαιτήσεων σύμφωνα με τους όρους αποπληρωμής των συμβάσεων. Οι προβλέψεις στηρίζονται στην ιστορική γνώση της Εταιρείας και τους ενδογενείς κινδύνους στο χαρτοφυλάκιό της. Η αξιολόγηση των απαιτήσεων στηρίζεται στην αναγνώριση καταστάσεων που πιθανόν να επηρεάζουν τη φερεγγυότητα του μισθωτή και τις υφιστάμενες καλύψεις οι οποίες, κατά κύριο λόγο, είναι τα εκμισθωμένα πάγια.  Η πολιτική </w:t>
      </w:r>
      <w:r>
        <w:rPr>
          <w:szCs w:val="22"/>
          <w:lang w:val="el-GR"/>
        </w:rPr>
        <w:t>σχηματισμού προβλέψεων για επισφαλείς απαιτήσεις έχει τα ακόλουθα χαρακτηριστικά:</w:t>
      </w:r>
    </w:p>
    <w:p w:rsidR="000A3791" w:rsidRPr="000A3791" w:rsidRDefault="000A3791" w:rsidP="00913F06">
      <w:pPr>
        <w:pStyle w:val="BodyText3"/>
        <w:tabs>
          <w:tab w:val="clear" w:pos="0"/>
          <w:tab w:val="clear" w:pos="227"/>
          <w:tab w:val="clear" w:pos="454"/>
          <w:tab w:val="clear" w:pos="680"/>
          <w:tab w:val="clear" w:pos="864"/>
          <w:tab w:val="clear" w:pos="907"/>
          <w:tab w:val="clear" w:pos="1440"/>
          <w:tab w:val="clear" w:pos="1644"/>
          <w:tab w:val="clear" w:pos="1871"/>
          <w:tab w:val="clear" w:pos="2160"/>
          <w:tab w:val="clear" w:pos="2580"/>
          <w:tab w:val="clear" w:pos="2807"/>
          <w:tab w:val="clear" w:pos="2880"/>
          <w:tab w:val="clear" w:pos="3515"/>
          <w:tab w:val="clear" w:pos="3600"/>
          <w:tab w:val="clear" w:pos="3742"/>
          <w:tab w:val="clear" w:pos="4320"/>
          <w:tab w:val="clear" w:pos="4451"/>
          <w:tab w:val="clear" w:pos="4678"/>
          <w:tab w:val="clear" w:pos="5040"/>
          <w:tab w:val="clear" w:pos="5387"/>
          <w:tab w:val="clear" w:pos="5613"/>
          <w:tab w:val="clear" w:pos="5760"/>
          <w:tab w:val="clear" w:pos="6322"/>
          <w:tab w:val="clear" w:pos="6480"/>
          <w:tab w:val="clear" w:pos="6549"/>
          <w:tab w:val="clear" w:pos="7200"/>
          <w:tab w:val="clear" w:pos="8010"/>
          <w:tab w:val="clear" w:pos="8640"/>
          <w:tab w:val="clear" w:pos="9360"/>
          <w:tab w:val="clear" w:pos="10080"/>
          <w:tab w:val="clear" w:pos="10800"/>
          <w:tab w:val="clear" w:pos="11520"/>
        </w:tabs>
        <w:autoSpaceDE w:val="0"/>
        <w:autoSpaceDN w:val="0"/>
        <w:adjustRightInd w:val="0"/>
        <w:spacing w:line="240" w:lineRule="auto"/>
        <w:rPr>
          <w:szCs w:val="17"/>
          <w:lang w:val="el-GR"/>
        </w:rPr>
      </w:pPr>
    </w:p>
    <w:p w:rsidR="004B417C" w:rsidRDefault="004B417C" w:rsidP="00CC12F8">
      <w:pPr>
        <w:pStyle w:val="BodyText3"/>
        <w:tabs>
          <w:tab w:val="clear" w:pos="0"/>
          <w:tab w:val="clear" w:pos="227"/>
          <w:tab w:val="clear" w:pos="454"/>
          <w:tab w:val="clear" w:pos="680"/>
          <w:tab w:val="clear" w:pos="864"/>
          <w:tab w:val="clear" w:pos="907"/>
          <w:tab w:val="clear" w:pos="1440"/>
          <w:tab w:val="clear" w:pos="1644"/>
          <w:tab w:val="clear" w:pos="1871"/>
          <w:tab w:val="clear" w:pos="2160"/>
          <w:tab w:val="clear" w:pos="2580"/>
          <w:tab w:val="clear" w:pos="2807"/>
          <w:tab w:val="clear" w:pos="2880"/>
          <w:tab w:val="clear" w:pos="3515"/>
          <w:tab w:val="clear" w:pos="3600"/>
          <w:tab w:val="clear" w:pos="3742"/>
          <w:tab w:val="clear" w:pos="4320"/>
          <w:tab w:val="clear" w:pos="4451"/>
          <w:tab w:val="clear" w:pos="4678"/>
          <w:tab w:val="clear" w:pos="5040"/>
          <w:tab w:val="clear" w:pos="5387"/>
          <w:tab w:val="clear" w:pos="5613"/>
          <w:tab w:val="clear" w:pos="5760"/>
          <w:tab w:val="clear" w:pos="6322"/>
          <w:tab w:val="clear" w:pos="6480"/>
          <w:tab w:val="clear" w:pos="6549"/>
          <w:tab w:val="clear" w:pos="7200"/>
          <w:tab w:val="clear" w:pos="8010"/>
          <w:tab w:val="clear" w:pos="8640"/>
          <w:tab w:val="clear" w:pos="9360"/>
          <w:tab w:val="clear" w:pos="10080"/>
          <w:tab w:val="clear" w:pos="10800"/>
          <w:tab w:val="clear" w:pos="11520"/>
        </w:tabs>
        <w:autoSpaceDE w:val="0"/>
        <w:autoSpaceDN w:val="0"/>
        <w:adjustRightInd w:val="0"/>
        <w:spacing w:line="240" w:lineRule="auto"/>
        <w:jc w:val="left"/>
        <w:rPr>
          <w:szCs w:val="22"/>
          <w:lang w:val="el-GR"/>
        </w:rPr>
      </w:pPr>
    </w:p>
    <w:p w:rsidR="004B417C" w:rsidRDefault="004B417C" w:rsidP="00AC2D11">
      <w:pPr>
        <w:numPr>
          <w:ilvl w:val="0"/>
          <w:numId w:val="29"/>
        </w:num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284" w:hanging="284"/>
        <w:rPr>
          <w:szCs w:val="22"/>
          <w:lang w:val="el-GR"/>
        </w:rPr>
      </w:pPr>
      <w:r w:rsidRPr="004E2F46">
        <w:rPr>
          <w:szCs w:val="22"/>
          <w:lang w:val="el-GR"/>
        </w:rPr>
        <w:lastRenderedPageBreak/>
        <w:t>Συμβάσεις που βρίσκονται σε καθυστέρηση άνω των 90 ημερών και η ληξιπρόθεσμη οφειλή τους είναι μεγαλύτερη του 2% της συνολικής</w:t>
      </w:r>
      <w:r>
        <w:rPr>
          <w:szCs w:val="22"/>
          <w:lang w:val="el-GR"/>
        </w:rPr>
        <w:t xml:space="preserve"> οφειλής (άληκτο + ληξιπρόθεσμα</w:t>
      </w:r>
      <w:r w:rsidRPr="004E2F46">
        <w:rPr>
          <w:szCs w:val="22"/>
          <w:lang w:val="el-GR"/>
        </w:rPr>
        <w:t>), κα</w:t>
      </w:r>
      <w:r>
        <w:rPr>
          <w:szCs w:val="22"/>
          <w:lang w:val="el-GR"/>
        </w:rPr>
        <w:t>ταγγέλλονται.</w:t>
      </w:r>
      <w:r w:rsidRPr="004E2F46">
        <w:rPr>
          <w:szCs w:val="22"/>
          <w:lang w:val="el-GR"/>
        </w:rPr>
        <w:t xml:space="preserve"> Επομένως οι πελάτες που είναι φορείς των συμβάσεων αυτών,  κατατάσσονται στην Ζ1 βαθμίδα πιστωτικής κατάταξης με ΣΕΑ 100%.</w:t>
      </w:r>
    </w:p>
    <w:p w:rsidR="004B417C" w:rsidRDefault="004B417C" w:rsidP="00CC12F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284"/>
        <w:rPr>
          <w:szCs w:val="22"/>
          <w:lang w:val="el-GR"/>
        </w:rPr>
      </w:pPr>
    </w:p>
    <w:p w:rsidR="004B417C" w:rsidRPr="00466198" w:rsidRDefault="004B417C" w:rsidP="00AC2D11">
      <w:pPr>
        <w:numPr>
          <w:ilvl w:val="0"/>
          <w:numId w:val="29"/>
        </w:num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284" w:hanging="284"/>
        <w:rPr>
          <w:szCs w:val="22"/>
          <w:lang w:val="el-GR"/>
        </w:rPr>
      </w:pPr>
      <w:r w:rsidRPr="00466198">
        <w:rPr>
          <w:szCs w:val="22"/>
          <w:lang w:val="el-GR"/>
        </w:rPr>
        <w:t>Σε όλους τους πελάτες - ανεξαρτήτως διαβάθμισης και ημερών καθυστέρησης δεν υπολογίζεται η διασφαλιστική αξία του πάγιου κινητού εξοπλισμού εφ’ όσον:</w:t>
      </w:r>
    </w:p>
    <w:p w:rsidR="004B417C" w:rsidRPr="004E2F46" w:rsidRDefault="004B417C" w:rsidP="00CC12F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284" w:hanging="284"/>
        <w:rPr>
          <w:szCs w:val="22"/>
          <w:lang w:val="el-GR"/>
        </w:rPr>
      </w:pPr>
    </w:p>
    <w:p w:rsidR="004B417C" w:rsidRPr="004E2F46" w:rsidRDefault="004B417C" w:rsidP="00AC2D11">
      <w:pPr>
        <w:numPr>
          <w:ilvl w:val="1"/>
          <w:numId w:val="27"/>
        </w:numPr>
        <w:tabs>
          <w:tab w:val="clear" w:pos="227"/>
          <w:tab w:val="clear" w:pos="454"/>
          <w:tab w:val="clear" w:pos="680"/>
          <w:tab w:val="clear" w:pos="907"/>
          <w:tab w:val="clear" w:pos="1440"/>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num" w:pos="568"/>
        </w:tabs>
        <w:spacing w:line="240" w:lineRule="auto"/>
        <w:ind w:left="568" w:hanging="284"/>
        <w:rPr>
          <w:szCs w:val="22"/>
          <w:lang w:val="el-GR"/>
        </w:rPr>
      </w:pPr>
      <w:r w:rsidRPr="004E2F46">
        <w:rPr>
          <w:szCs w:val="22"/>
          <w:lang w:val="el-GR"/>
        </w:rPr>
        <w:t xml:space="preserve">ο εξοπλισμός ανήκει στις κατηγορίες : μηχανοκίνητα – τροχοφόρα,   μηχανήματα έργου - τροχοφόρα και γεωργικά μηχανήματα τροχοφόρα και έχουν περάσει 8 έτη από την υπογραφή της σύμβασης, </w:t>
      </w:r>
    </w:p>
    <w:p w:rsidR="004B417C" w:rsidRPr="004E2F46" w:rsidRDefault="004B417C" w:rsidP="00AC2D11">
      <w:pPr>
        <w:numPr>
          <w:ilvl w:val="1"/>
          <w:numId w:val="27"/>
        </w:numPr>
        <w:tabs>
          <w:tab w:val="clear" w:pos="227"/>
          <w:tab w:val="clear" w:pos="454"/>
          <w:tab w:val="clear" w:pos="680"/>
          <w:tab w:val="clear" w:pos="907"/>
          <w:tab w:val="clear" w:pos="1440"/>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num" w:pos="568"/>
        </w:tabs>
        <w:spacing w:line="240" w:lineRule="auto"/>
        <w:ind w:left="568" w:hanging="284"/>
        <w:rPr>
          <w:szCs w:val="22"/>
          <w:lang w:val="el-GR"/>
        </w:rPr>
      </w:pPr>
      <w:r w:rsidRPr="004E2F46">
        <w:rPr>
          <w:szCs w:val="22"/>
          <w:lang w:val="el-GR"/>
        </w:rPr>
        <w:t>ο εξ</w:t>
      </w:r>
      <w:r>
        <w:rPr>
          <w:szCs w:val="22"/>
          <w:lang w:val="el-GR"/>
        </w:rPr>
        <w:t>οπλισμός ανήκει στις κατηγορίες</w:t>
      </w:r>
      <w:r w:rsidRPr="004E2F46">
        <w:rPr>
          <w:szCs w:val="22"/>
          <w:lang w:val="el-GR"/>
        </w:rPr>
        <w:t>:</w:t>
      </w:r>
      <w:r>
        <w:rPr>
          <w:szCs w:val="22"/>
          <w:lang w:val="el-GR"/>
        </w:rPr>
        <w:t xml:space="preserve"> μηχανήματα παραγωγής – </w:t>
      </w:r>
      <w:r w:rsidRPr="004E2F46">
        <w:rPr>
          <w:szCs w:val="22"/>
          <w:lang w:val="el-GR"/>
        </w:rPr>
        <w:t>μηχανολογικός εξοπλισμός και ηλεκτρονικός – λοιπός εξοπλισμός, ανεξαρτήτως παλαιότητας εξοπλισμού.</w:t>
      </w:r>
    </w:p>
    <w:p w:rsidR="004B417C" w:rsidRPr="004E2F46" w:rsidRDefault="004B417C" w:rsidP="00AC2D11">
      <w:pPr>
        <w:numPr>
          <w:ilvl w:val="1"/>
          <w:numId w:val="27"/>
        </w:numPr>
        <w:tabs>
          <w:tab w:val="clear" w:pos="227"/>
          <w:tab w:val="clear" w:pos="454"/>
          <w:tab w:val="clear" w:pos="680"/>
          <w:tab w:val="clear" w:pos="907"/>
          <w:tab w:val="clear" w:pos="1440"/>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num" w:pos="568"/>
        </w:tabs>
        <w:spacing w:line="240" w:lineRule="auto"/>
        <w:ind w:left="568" w:hanging="284"/>
        <w:rPr>
          <w:szCs w:val="22"/>
          <w:lang w:val="el-GR"/>
        </w:rPr>
      </w:pPr>
      <w:r w:rsidRPr="004E2F46">
        <w:rPr>
          <w:szCs w:val="22"/>
          <w:lang w:val="el-GR"/>
        </w:rPr>
        <w:t>πρόκειται για ιατρικά μηχανήματα</w:t>
      </w:r>
      <w:r>
        <w:rPr>
          <w:szCs w:val="22"/>
          <w:lang w:val="el-GR"/>
        </w:rPr>
        <w:t xml:space="preserve"> και έχουν περάσει 3 έτη από την </w:t>
      </w:r>
      <w:r w:rsidRPr="004E2F46">
        <w:rPr>
          <w:szCs w:val="22"/>
          <w:lang w:val="el-GR"/>
        </w:rPr>
        <w:t xml:space="preserve">υπογραφή της σύμβασης. </w:t>
      </w:r>
    </w:p>
    <w:p w:rsidR="004B417C" w:rsidRDefault="004B417C" w:rsidP="00CC12F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rPr>
          <w:szCs w:val="17"/>
          <w:lang w:val="el-GR"/>
        </w:rPr>
      </w:pPr>
    </w:p>
    <w:p w:rsidR="004B417C" w:rsidRPr="00E25818" w:rsidRDefault="004B417C" w:rsidP="00CC12F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rPr>
          <w:szCs w:val="17"/>
          <w:lang w:val="el-GR"/>
        </w:rPr>
      </w:pPr>
      <w:r w:rsidRPr="00E25818">
        <w:rPr>
          <w:szCs w:val="17"/>
          <w:lang w:val="el-GR"/>
        </w:rPr>
        <w:t xml:space="preserve">Η κίνηση της πρόβλεψης για απομείωση απαιτήσεων κατά τη διάρκεια της χρήσεως 2011 και του </w:t>
      </w:r>
      <w:r w:rsidRPr="00E25818">
        <w:rPr>
          <w:lang w:val="el-GR"/>
        </w:rPr>
        <w:t>2012</w:t>
      </w:r>
      <w:r w:rsidRPr="00E25818">
        <w:rPr>
          <w:szCs w:val="17"/>
          <w:lang w:val="el-GR"/>
        </w:rPr>
        <w:t>, αναλύεται ως εξής:</w:t>
      </w:r>
    </w:p>
    <w:p w:rsidR="004B417C" w:rsidRPr="00E25818" w:rsidRDefault="004B417C" w:rsidP="00CC12F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rPr>
          <w:szCs w:val="17"/>
          <w:lang w:val="el-GR"/>
        </w:rPr>
      </w:pPr>
    </w:p>
    <w:tbl>
      <w:tblPr>
        <w:tblW w:w="0" w:type="auto"/>
        <w:tblInd w:w="108" w:type="dxa"/>
        <w:tblLayout w:type="fixed"/>
        <w:tblLook w:val="0000"/>
      </w:tblPr>
      <w:tblGrid>
        <w:gridCol w:w="5103"/>
        <w:gridCol w:w="1276"/>
      </w:tblGrid>
      <w:tr w:rsidR="004B417C" w:rsidRPr="00E25818">
        <w:trPr>
          <w:trHeight w:hRule="exact" w:val="340"/>
        </w:trPr>
        <w:tc>
          <w:tcPr>
            <w:tcW w:w="5103" w:type="dxa"/>
            <w:vAlign w:val="center"/>
          </w:tcPr>
          <w:p w:rsidR="004B417C" w:rsidRPr="00E25818" w:rsidRDefault="004B417C">
            <w:pPr>
              <w:spacing w:line="240" w:lineRule="auto"/>
              <w:jc w:val="both"/>
              <w:rPr>
                <w:lang w:val="el-GR"/>
              </w:rPr>
            </w:pPr>
            <w:r w:rsidRPr="00E25818">
              <w:rPr>
                <w:b/>
                <w:lang w:val="el-GR"/>
              </w:rPr>
              <w:t>Υπόλοιπο 1 Ιανουαρίου 2011</w:t>
            </w:r>
          </w:p>
        </w:tc>
        <w:tc>
          <w:tcPr>
            <w:tcW w:w="1276" w:type="dxa"/>
            <w:vAlign w:val="center"/>
          </w:tcPr>
          <w:p w:rsidR="004B417C" w:rsidRPr="00E25818" w:rsidRDefault="004B417C">
            <w:pPr>
              <w:spacing w:line="240" w:lineRule="auto"/>
              <w:jc w:val="right"/>
              <w:rPr>
                <w:b/>
                <w:lang w:val="el-GR"/>
              </w:rPr>
            </w:pPr>
            <w:r w:rsidRPr="00E25818">
              <w:rPr>
                <w:b/>
                <w:lang w:val="el-GR"/>
              </w:rPr>
              <w:t>122.197</w:t>
            </w:r>
          </w:p>
        </w:tc>
      </w:tr>
      <w:tr w:rsidR="004B417C" w:rsidRPr="00E25818">
        <w:trPr>
          <w:trHeight w:hRule="exact" w:val="340"/>
        </w:trPr>
        <w:tc>
          <w:tcPr>
            <w:tcW w:w="5103" w:type="dxa"/>
            <w:vAlign w:val="center"/>
          </w:tcPr>
          <w:p w:rsidR="004B417C" w:rsidRPr="00E25818" w:rsidRDefault="004B417C">
            <w:pPr>
              <w:spacing w:line="240" w:lineRule="auto"/>
              <w:jc w:val="both"/>
              <w:rPr>
                <w:lang w:val="el-GR"/>
              </w:rPr>
            </w:pPr>
            <w:r w:rsidRPr="00E25818">
              <w:rPr>
                <w:lang w:val="el-GR"/>
              </w:rPr>
              <w:t xml:space="preserve">Διενεργηθείσες προβλέψεις </w:t>
            </w:r>
          </w:p>
        </w:tc>
        <w:tc>
          <w:tcPr>
            <w:tcW w:w="1276" w:type="dxa"/>
            <w:vAlign w:val="center"/>
          </w:tcPr>
          <w:p w:rsidR="004B417C" w:rsidRPr="00E25818" w:rsidRDefault="004B417C">
            <w:pPr>
              <w:spacing w:line="240" w:lineRule="auto"/>
              <w:jc w:val="right"/>
              <w:rPr>
                <w:lang w:val="el-GR"/>
              </w:rPr>
            </w:pPr>
            <w:r w:rsidRPr="00E25818">
              <w:rPr>
                <w:lang w:val="el-GR"/>
              </w:rPr>
              <w:t>63.490</w:t>
            </w:r>
          </w:p>
        </w:tc>
      </w:tr>
      <w:tr w:rsidR="004B417C" w:rsidRPr="00E25818">
        <w:trPr>
          <w:trHeight w:hRule="exact" w:val="340"/>
        </w:trPr>
        <w:tc>
          <w:tcPr>
            <w:tcW w:w="5103" w:type="dxa"/>
            <w:vAlign w:val="center"/>
          </w:tcPr>
          <w:p w:rsidR="004B417C" w:rsidRPr="00E25818" w:rsidRDefault="004B417C">
            <w:pPr>
              <w:pStyle w:val="Heading6"/>
              <w:spacing w:line="240" w:lineRule="auto"/>
              <w:rPr>
                <w:lang w:val="el-GR"/>
              </w:rPr>
            </w:pPr>
            <w:r w:rsidRPr="00E25818">
              <w:rPr>
                <w:lang w:val="el-GR"/>
              </w:rPr>
              <w:t>Διαγραφές</w:t>
            </w:r>
          </w:p>
        </w:tc>
        <w:tc>
          <w:tcPr>
            <w:tcW w:w="1276" w:type="dxa"/>
            <w:tcBorders>
              <w:bottom w:val="single" w:sz="4" w:space="0" w:color="auto"/>
            </w:tcBorders>
            <w:vAlign w:val="center"/>
          </w:tcPr>
          <w:p w:rsidR="004B417C" w:rsidRPr="00E25818" w:rsidRDefault="004B417C">
            <w:pPr>
              <w:spacing w:line="240" w:lineRule="auto"/>
              <w:jc w:val="right"/>
              <w:rPr>
                <w:bCs/>
                <w:lang w:val="el-GR"/>
              </w:rPr>
            </w:pPr>
            <w:r w:rsidRPr="00E25818">
              <w:rPr>
                <w:bCs/>
                <w:lang w:val="el-GR"/>
              </w:rPr>
              <w:t>(26.515)</w:t>
            </w:r>
          </w:p>
        </w:tc>
      </w:tr>
      <w:tr w:rsidR="004B417C" w:rsidRPr="00E25818">
        <w:trPr>
          <w:trHeight w:hRule="exact" w:val="340"/>
        </w:trPr>
        <w:tc>
          <w:tcPr>
            <w:tcW w:w="5103" w:type="dxa"/>
            <w:vAlign w:val="center"/>
          </w:tcPr>
          <w:p w:rsidR="004B417C" w:rsidRPr="00E25818" w:rsidRDefault="004B417C">
            <w:pPr>
              <w:pStyle w:val="Heading6"/>
              <w:spacing w:line="240" w:lineRule="auto"/>
              <w:rPr>
                <w:lang w:val="el-GR"/>
              </w:rPr>
            </w:pPr>
            <w:r w:rsidRPr="00E25818">
              <w:rPr>
                <w:b/>
                <w:lang w:val="el-GR"/>
              </w:rPr>
              <w:t>Υπόλοιπο 31 Δεκεμβρίου 2011</w:t>
            </w:r>
          </w:p>
        </w:tc>
        <w:tc>
          <w:tcPr>
            <w:tcW w:w="1276" w:type="dxa"/>
            <w:tcBorders>
              <w:top w:val="single" w:sz="4" w:space="0" w:color="auto"/>
            </w:tcBorders>
            <w:vAlign w:val="center"/>
          </w:tcPr>
          <w:p w:rsidR="004B417C" w:rsidRPr="00E25818" w:rsidRDefault="004B417C">
            <w:pPr>
              <w:spacing w:line="240" w:lineRule="auto"/>
              <w:jc w:val="right"/>
              <w:rPr>
                <w:b/>
                <w:bCs/>
                <w:lang w:val="el-GR"/>
              </w:rPr>
            </w:pPr>
            <w:r w:rsidRPr="00E25818">
              <w:rPr>
                <w:b/>
                <w:bCs/>
                <w:lang w:val="el-GR"/>
              </w:rPr>
              <w:t>159.172</w:t>
            </w:r>
          </w:p>
        </w:tc>
      </w:tr>
      <w:tr w:rsidR="004B417C" w:rsidRPr="00E25818">
        <w:trPr>
          <w:trHeight w:hRule="exact" w:val="340"/>
        </w:trPr>
        <w:tc>
          <w:tcPr>
            <w:tcW w:w="5103" w:type="dxa"/>
            <w:vAlign w:val="center"/>
          </w:tcPr>
          <w:p w:rsidR="004B417C" w:rsidRPr="00E25818" w:rsidRDefault="004B417C">
            <w:pPr>
              <w:spacing w:line="240" w:lineRule="auto"/>
              <w:jc w:val="both"/>
              <w:rPr>
                <w:lang w:val="el-GR"/>
              </w:rPr>
            </w:pPr>
            <w:r w:rsidRPr="00E25818">
              <w:rPr>
                <w:lang w:val="el-GR"/>
              </w:rPr>
              <w:t xml:space="preserve">Διενεργηθείσες προβλέψεις </w:t>
            </w:r>
          </w:p>
        </w:tc>
        <w:tc>
          <w:tcPr>
            <w:tcW w:w="1276" w:type="dxa"/>
            <w:vAlign w:val="center"/>
          </w:tcPr>
          <w:p w:rsidR="004B417C" w:rsidRPr="00E25818" w:rsidRDefault="004B417C">
            <w:pPr>
              <w:spacing w:line="240" w:lineRule="auto"/>
              <w:jc w:val="right"/>
              <w:rPr>
                <w:lang w:val="el-GR"/>
              </w:rPr>
            </w:pPr>
            <w:r>
              <w:rPr>
                <w:lang w:val="el-GR"/>
              </w:rPr>
              <w:t>36.968</w:t>
            </w:r>
          </w:p>
        </w:tc>
      </w:tr>
      <w:tr w:rsidR="004B417C" w:rsidRPr="00E25818">
        <w:trPr>
          <w:trHeight w:hRule="exact" w:val="340"/>
        </w:trPr>
        <w:tc>
          <w:tcPr>
            <w:tcW w:w="5103" w:type="dxa"/>
            <w:vAlign w:val="center"/>
          </w:tcPr>
          <w:p w:rsidR="004B417C" w:rsidRPr="00E25818" w:rsidRDefault="004B417C">
            <w:pPr>
              <w:pStyle w:val="Heading6"/>
              <w:spacing w:line="240" w:lineRule="auto"/>
              <w:rPr>
                <w:lang w:val="el-GR"/>
              </w:rPr>
            </w:pPr>
            <w:r w:rsidRPr="00E25818">
              <w:rPr>
                <w:lang w:val="el-GR"/>
              </w:rPr>
              <w:t>Διαγραφές</w:t>
            </w:r>
          </w:p>
        </w:tc>
        <w:tc>
          <w:tcPr>
            <w:tcW w:w="1276" w:type="dxa"/>
            <w:tcBorders>
              <w:bottom w:val="single" w:sz="4" w:space="0" w:color="auto"/>
            </w:tcBorders>
            <w:vAlign w:val="center"/>
          </w:tcPr>
          <w:p w:rsidR="004B417C" w:rsidRPr="00E25818" w:rsidRDefault="004B417C">
            <w:pPr>
              <w:spacing w:line="240" w:lineRule="auto"/>
              <w:jc w:val="right"/>
            </w:pPr>
            <w:r w:rsidRPr="00E25818">
              <w:t>(</w:t>
            </w:r>
            <w:r>
              <w:rPr>
                <w:lang w:val="el-GR"/>
              </w:rPr>
              <w:t>21.966</w:t>
            </w:r>
            <w:r w:rsidRPr="00E25818">
              <w:t>)</w:t>
            </w:r>
          </w:p>
        </w:tc>
      </w:tr>
      <w:tr w:rsidR="004B417C">
        <w:trPr>
          <w:trHeight w:hRule="exact" w:val="340"/>
        </w:trPr>
        <w:tc>
          <w:tcPr>
            <w:tcW w:w="5103" w:type="dxa"/>
            <w:vAlign w:val="center"/>
          </w:tcPr>
          <w:p w:rsidR="004B417C" w:rsidRPr="00E25818" w:rsidRDefault="004B417C">
            <w:pPr>
              <w:spacing w:line="240" w:lineRule="auto"/>
              <w:jc w:val="both"/>
              <w:rPr>
                <w:lang w:val="el-GR"/>
              </w:rPr>
            </w:pPr>
            <w:r w:rsidRPr="00E25818">
              <w:rPr>
                <w:b/>
                <w:lang w:val="el-GR"/>
              </w:rPr>
              <w:t>Υπόλοιπο 31 Δεκεμβρίου 2012</w:t>
            </w:r>
          </w:p>
        </w:tc>
        <w:tc>
          <w:tcPr>
            <w:tcW w:w="1276" w:type="dxa"/>
            <w:tcBorders>
              <w:top w:val="single" w:sz="4" w:space="0" w:color="auto"/>
              <w:bottom w:val="double" w:sz="4" w:space="0" w:color="auto"/>
            </w:tcBorders>
            <w:vAlign w:val="center"/>
          </w:tcPr>
          <w:p w:rsidR="004B417C" w:rsidRPr="000275E6" w:rsidRDefault="004B417C">
            <w:pPr>
              <w:spacing w:line="240" w:lineRule="auto"/>
              <w:jc w:val="right"/>
              <w:rPr>
                <w:b/>
                <w:bCs/>
                <w:lang w:val="el-GR"/>
              </w:rPr>
            </w:pPr>
            <w:r w:rsidRPr="00E25818">
              <w:rPr>
                <w:b/>
                <w:bCs/>
                <w:lang w:val="el-GR"/>
              </w:rPr>
              <w:t>174.17</w:t>
            </w:r>
            <w:r>
              <w:rPr>
                <w:b/>
                <w:bCs/>
                <w:lang w:val="el-GR"/>
              </w:rPr>
              <w:t>4</w:t>
            </w:r>
          </w:p>
        </w:tc>
      </w:tr>
    </w:tbl>
    <w:p w:rsidR="004B417C" w:rsidRDefault="004B417C">
      <w:pPr>
        <w:pStyle w:val="Heading1"/>
        <w:tabs>
          <w:tab w:val="left" w:pos="540"/>
        </w:tabs>
        <w:rPr>
          <w:lang w:val="el-GR"/>
        </w:rPr>
      </w:pPr>
    </w:p>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b/>
          <w:szCs w:val="22"/>
          <w:lang w:val="el-GR"/>
        </w:rPr>
      </w:pPr>
      <w:bookmarkStart w:id="22" w:name="_Toc128477833"/>
    </w:p>
    <w:p w:rsidR="004B417C" w:rsidRPr="006B1B03" w:rsidRDefault="004B417C" w:rsidP="00AC2D11">
      <w:pPr>
        <w:pStyle w:val="Heading1"/>
        <w:keepLines/>
        <w:numPr>
          <w:ilvl w:val="0"/>
          <w:numId w:val="32"/>
        </w:numPr>
        <w:shd w:val="clear" w:color="auto" w:fill="auto"/>
        <w:spacing w:before="130" w:line="280" w:lineRule="atLeast"/>
        <w:ind w:left="357" w:hanging="357"/>
        <w:rPr>
          <w:szCs w:val="22"/>
          <w:lang w:val="el-GR"/>
        </w:rPr>
      </w:pPr>
      <w:r w:rsidRPr="006B1B03">
        <w:rPr>
          <w:szCs w:val="22"/>
          <w:lang w:val="el-GR"/>
        </w:rPr>
        <w:t>Χρεόγραφα διαθεσίμων προς πώληση επενδύσεων</w:t>
      </w:r>
      <w:bookmarkEnd w:id="22"/>
    </w:p>
    <w:p w:rsidR="004B417C" w:rsidRDefault="004B417C">
      <w:pPr>
        <w:pStyle w:val="BodyTextIndent3"/>
        <w:numPr>
          <w:ilvl w:val="12"/>
          <w:numId w:val="0"/>
        </w:num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highlight w:val="yellow"/>
          <w:lang w:val="el-GR"/>
        </w:rPr>
      </w:pPr>
    </w:p>
    <w:p w:rsidR="004B417C" w:rsidRDefault="004B417C" w:rsidP="00913F06">
      <w:pPr>
        <w:pStyle w:val="BodyText3"/>
        <w:tabs>
          <w:tab w:val="clear" w:pos="0"/>
          <w:tab w:val="clear" w:pos="227"/>
          <w:tab w:val="clear" w:pos="454"/>
          <w:tab w:val="clear" w:pos="680"/>
          <w:tab w:val="clear" w:pos="864"/>
          <w:tab w:val="clear" w:pos="907"/>
          <w:tab w:val="clear" w:pos="1440"/>
          <w:tab w:val="clear" w:pos="1644"/>
          <w:tab w:val="clear" w:pos="1871"/>
          <w:tab w:val="clear" w:pos="2160"/>
          <w:tab w:val="clear" w:pos="2580"/>
          <w:tab w:val="clear" w:pos="2807"/>
          <w:tab w:val="clear" w:pos="2880"/>
          <w:tab w:val="clear" w:pos="3515"/>
          <w:tab w:val="clear" w:pos="3600"/>
          <w:tab w:val="clear" w:pos="3742"/>
          <w:tab w:val="clear" w:pos="4320"/>
          <w:tab w:val="clear" w:pos="4451"/>
          <w:tab w:val="clear" w:pos="4678"/>
          <w:tab w:val="clear" w:pos="5040"/>
          <w:tab w:val="clear" w:pos="5387"/>
          <w:tab w:val="clear" w:pos="5613"/>
          <w:tab w:val="clear" w:pos="5760"/>
          <w:tab w:val="clear" w:pos="6322"/>
          <w:tab w:val="clear" w:pos="6480"/>
          <w:tab w:val="clear" w:pos="6549"/>
          <w:tab w:val="clear" w:pos="7200"/>
          <w:tab w:val="clear" w:pos="8010"/>
          <w:tab w:val="clear" w:pos="8640"/>
          <w:tab w:val="clear" w:pos="9360"/>
          <w:tab w:val="clear" w:pos="10080"/>
          <w:tab w:val="clear" w:pos="10800"/>
          <w:tab w:val="clear" w:pos="11520"/>
        </w:tabs>
        <w:autoSpaceDE w:val="0"/>
        <w:autoSpaceDN w:val="0"/>
        <w:adjustRightInd w:val="0"/>
        <w:spacing w:line="240" w:lineRule="auto"/>
        <w:rPr>
          <w:szCs w:val="17"/>
          <w:lang w:val="el-GR"/>
        </w:rPr>
      </w:pPr>
      <w:r>
        <w:rPr>
          <w:szCs w:val="17"/>
          <w:lang w:val="el-GR"/>
        </w:rPr>
        <w:t>Στο χαρτοφυλάκιο των διαθέσιμων προς πώληση επενδύσεων η Εταιρεία αναγνώρισε επενδύσεις οι οποίες μπορεί είτε να κρατούνται μέχρι τη λήξη ή να πωληθούν προκειμένου να ικανοποιηθούν ανάγκες ρευστότητας ή να επιτευχθούν κέρδη από μεταβολή τιμών. Έπειτα από την αρχική καταχώρησή τους, οι επενδύσεις που έχουν ταξινομηθεί ως διαθέσιμες προς πώληση, αποτιμώνται στην εύλογη αξία τους. Τα κέρδη ή οι ζημίες που προκύπτουν από την αποτίμηση των διαθέσιμων προς πώληση επενδύσεων καταχωρούνται σε ξεχωριστό λογαριασμό της καθαρής θέσης έως ότου εκποιηθούν ή εισπραχθούν ή διαπιστωθεί ότι υπάρχει απομείωση στην αξία τους, οπότε και μεταφέρονται στην κατάσταση αποτελεσμάτων χρήσης.</w:t>
      </w:r>
    </w:p>
    <w:tbl>
      <w:tblPr>
        <w:tblW w:w="0" w:type="auto"/>
        <w:tblInd w:w="108" w:type="dxa"/>
        <w:tblLayout w:type="fixed"/>
        <w:tblLook w:val="0000"/>
      </w:tblPr>
      <w:tblGrid>
        <w:gridCol w:w="5103"/>
        <w:gridCol w:w="1276"/>
        <w:gridCol w:w="254"/>
        <w:gridCol w:w="1276"/>
      </w:tblGrid>
      <w:tr w:rsidR="004B417C">
        <w:trPr>
          <w:trHeight w:hRule="exact" w:val="567"/>
        </w:trPr>
        <w:tc>
          <w:tcPr>
            <w:tcW w:w="5103" w:type="dxa"/>
            <w:vAlign w:val="center"/>
          </w:tcPr>
          <w:p w:rsidR="004B417C" w:rsidRDefault="004B417C">
            <w:pPr>
              <w:spacing w:line="240" w:lineRule="auto"/>
              <w:jc w:val="both"/>
              <w:rPr>
                <w:b/>
                <w:lang w:val="el-GR"/>
              </w:rPr>
            </w:pPr>
          </w:p>
        </w:tc>
        <w:tc>
          <w:tcPr>
            <w:tcW w:w="1276" w:type="dxa"/>
            <w:tcBorders>
              <w:bottom w:val="single" w:sz="4" w:space="0" w:color="auto"/>
            </w:tcBorders>
            <w:vAlign w:val="center"/>
          </w:tcPr>
          <w:p w:rsidR="004B417C" w:rsidRDefault="004B417C">
            <w:pPr>
              <w:spacing w:line="240" w:lineRule="auto"/>
              <w:jc w:val="right"/>
              <w:rPr>
                <w:b/>
                <w:lang w:val="el-GR"/>
              </w:rPr>
            </w:pPr>
            <w:r>
              <w:rPr>
                <w:b/>
                <w:lang w:val="el-GR"/>
              </w:rPr>
              <w:t>2012</w:t>
            </w:r>
          </w:p>
        </w:tc>
        <w:tc>
          <w:tcPr>
            <w:tcW w:w="254" w:type="dxa"/>
            <w:vAlign w:val="center"/>
          </w:tcPr>
          <w:p w:rsidR="004B417C" w:rsidRDefault="004B417C">
            <w:pPr>
              <w:spacing w:line="240" w:lineRule="auto"/>
              <w:jc w:val="right"/>
              <w:rPr>
                <w:b/>
                <w:lang w:val="el-GR"/>
              </w:rPr>
            </w:pPr>
          </w:p>
        </w:tc>
        <w:tc>
          <w:tcPr>
            <w:tcW w:w="1276" w:type="dxa"/>
            <w:tcBorders>
              <w:bottom w:val="single" w:sz="4" w:space="0" w:color="auto"/>
            </w:tcBorders>
            <w:vAlign w:val="center"/>
          </w:tcPr>
          <w:p w:rsidR="004B417C" w:rsidRDefault="004B417C">
            <w:pPr>
              <w:spacing w:line="240" w:lineRule="auto"/>
              <w:jc w:val="right"/>
              <w:rPr>
                <w:b/>
                <w:lang w:val="el-GR"/>
              </w:rPr>
            </w:pPr>
            <w:r>
              <w:rPr>
                <w:b/>
                <w:lang w:val="el-GR"/>
              </w:rPr>
              <w:t>2011</w:t>
            </w:r>
          </w:p>
        </w:tc>
      </w:tr>
      <w:tr w:rsidR="004B417C" w:rsidRPr="00A2180F">
        <w:trPr>
          <w:trHeight w:hRule="exact" w:val="340"/>
        </w:trPr>
        <w:tc>
          <w:tcPr>
            <w:tcW w:w="5103" w:type="dxa"/>
            <w:vAlign w:val="center"/>
          </w:tcPr>
          <w:p w:rsidR="004B417C" w:rsidRDefault="004B417C">
            <w:pPr>
              <w:spacing w:line="240" w:lineRule="auto"/>
              <w:jc w:val="both"/>
              <w:rPr>
                <w:lang w:val="el-GR"/>
              </w:rPr>
            </w:pPr>
            <w:r>
              <w:rPr>
                <w:lang w:val="el-GR"/>
              </w:rPr>
              <w:t>Εισηγμένες μετοχές (Εσωτερικού) (Σημ.</w:t>
            </w:r>
            <w:r>
              <w:t>1</w:t>
            </w:r>
            <w:r>
              <w:rPr>
                <w:lang w:val="el-GR"/>
              </w:rPr>
              <w:t>0.1)</w:t>
            </w:r>
          </w:p>
        </w:tc>
        <w:tc>
          <w:tcPr>
            <w:tcW w:w="1276" w:type="dxa"/>
            <w:tcBorders>
              <w:top w:val="single" w:sz="4" w:space="0" w:color="auto"/>
              <w:bottom w:val="single" w:sz="4" w:space="0" w:color="auto"/>
            </w:tcBorders>
            <w:vAlign w:val="center"/>
          </w:tcPr>
          <w:p w:rsidR="004B417C" w:rsidRPr="00BC1414" w:rsidRDefault="004B417C">
            <w:pPr>
              <w:spacing w:line="240" w:lineRule="auto"/>
              <w:jc w:val="right"/>
              <w:rPr>
                <w:b/>
                <w:lang w:val="el-GR"/>
              </w:rPr>
            </w:pPr>
            <w:r>
              <w:rPr>
                <w:b/>
              </w:rPr>
              <w:t>3</w:t>
            </w:r>
            <w:r>
              <w:rPr>
                <w:b/>
                <w:lang w:val="el-GR"/>
              </w:rPr>
              <w:t>48</w:t>
            </w:r>
          </w:p>
        </w:tc>
        <w:tc>
          <w:tcPr>
            <w:tcW w:w="254" w:type="dxa"/>
            <w:vAlign w:val="center"/>
          </w:tcPr>
          <w:p w:rsidR="004B417C" w:rsidRPr="00A2180F" w:rsidRDefault="004B417C">
            <w:pPr>
              <w:spacing w:line="240" w:lineRule="auto"/>
              <w:jc w:val="right"/>
              <w:rPr>
                <w:b/>
                <w:lang w:val="el-GR"/>
              </w:rPr>
            </w:pPr>
          </w:p>
        </w:tc>
        <w:tc>
          <w:tcPr>
            <w:tcW w:w="1276" w:type="dxa"/>
            <w:tcBorders>
              <w:top w:val="single" w:sz="4" w:space="0" w:color="auto"/>
              <w:bottom w:val="single" w:sz="4" w:space="0" w:color="auto"/>
            </w:tcBorders>
            <w:vAlign w:val="center"/>
          </w:tcPr>
          <w:p w:rsidR="004B417C" w:rsidRPr="00A2180F" w:rsidRDefault="004B417C">
            <w:pPr>
              <w:spacing w:line="240" w:lineRule="auto"/>
              <w:jc w:val="right"/>
              <w:rPr>
                <w:b/>
                <w:lang w:val="el-GR"/>
              </w:rPr>
            </w:pPr>
            <w:r>
              <w:rPr>
                <w:b/>
                <w:lang w:val="el-GR"/>
              </w:rPr>
              <w:t>335</w:t>
            </w:r>
          </w:p>
        </w:tc>
      </w:tr>
      <w:tr w:rsidR="004B417C">
        <w:trPr>
          <w:trHeight w:hRule="exact" w:val="170"/>
        </w:trPr>
        <w:tc>
          <w:tcPr>
            <w:tcW w:w="5103" w:type="dxa"/>
            <w:vAlign w:val="center"/>
          </w:tcPr>
          <w:p w:rsidR="004B417C" w:rsidRDefault="004B417C">
            <w:pPr>
              <w:spacing w:line="240" w:lineRule="auto"/>
              <w:jc w:val="both"/>
              <w:rPr>
                <w:lang w:val="el-GR"/>
              </w:rPr>
            </w:pPr>
          </w:p>
        </w:tc>
        <w:tc>
          <w:tcPr>
            <w:tcW w:w="1276" w:type="dxa"/>
            <w:tcBorders>
              <w:top w:val="single" w:sz="2" w:space="0" w:color="auto"/>
            </w:tcBorders>
            <w:vAlign w:val="center"/>
          </w:tcPr>
          <w:p w:rsidR="004B417C" w:rsidRDefault="004B417C">
            <w:pPr>
              <w:spacing w:line="240" w:lineRule="auto"/>
              <w:jc w:val="right"/>
              <w:rPr>
                <w:lang w:val="el-GR"/>
              </w:rPr>
            </w:pPr>
          </w:p>
        </w:tc>
        <w:tc>
          <w:tcPr>
            <w:tcW w:w="254" w:type="dxa"/>
            <w:vAlign w:val="center"/>
          </w:tcPr>
          <w:p w:rsidR="004B417C" w:rsidRDefault="004B417C">
            <w:pPr>
              <w:spacing w:line="240" w:lineRule="auto"/>
              <w:jc w:val="right"/>
              <w:rPr>
                <w:lang w:val="el-GR"/>
              </w:rPr>
            </w:pPr>
          </w:p>
        </w:tc>
        <w:tc>
          <w:tcPr>
            <w:tcW w:w="1276" w:type="dxa"/>
            <w:tcBorders>
              <w:top w:val="single" w:sz="2" w:space="0" w:color="auto"/>
            </w:tcBorders>
            <w:vAlign w:val="center"/>
          </w:tcPr>
          <w:p w:rsidR="004B417C" w:rsidRDefault="004B417C">
            <w:pPr>
              <w:spacing w:line="240" w:lineRule="auto"/>
              <w:jc w:val="right"/>
              <w:rPr>
                <w:lang w:val="el-GR"/>
              </w:rPr>
            </w:pPr>
          </w:p>
        </w:tc>
      </w:tr>
      <w:tr w:rsidR="004B417C">
        <w:trPr>
          <w:trHeight w:hRule="exact" w:val="340"/>
        </w:trPr>
        <w:tc>
          <w:tcPr>
            <w:tcW w:w="5103" w:type="dxa"/>
            <w:vAlign w:val="center"/>
          </w:tcPr>
          <w:p w:rsidR="004B417C" w:rsidRDefault="004B417C">
            <w:pPr>
              <w:spacing w:line="240" w:lineRule="auto"/>
              <w:jc w:val="both"/>
              <w:rPr>
                <w:lang w:val="el-GR"/>
              </w:rPr>
            </w:pPr>
            <w:r>
              <w:rPr>
                <w:lang w:val="el-GR"/>
              </w:rPr>
              <w:t>Μη εισηγμένες μετοχές –Εσωτερικού</w:t>
            </w:r>
          </w:p>
        </w:tc>
        <w:tc>
          <w:tcPr>
            <w:tcW w:w="1276" w:type="dxa"/>
            <w:vAlign w:val="center"/>
          </w:tcPr>
          <w:p w:rsidR="004B417C" w:rsidRPr="00391843" w:rsidRDefault="004B417C">
            <w:pPr>
              <w:spacing w:line="240" w:lineRule="auto"/>
              <w:jc w:val="right"/>
              <w:rPr>
                <w:lang w:val="el-GR"/>
              </w:rPr>
            </w:pPr>
            <w:r>
              <w:rPr>
                <w:lang w:val="el-GR"/>
              </w:rPr>
              <w:t>-</w:t>
            </w:r>
          </w:p>
        </w:tc>
        <w:tc>
          <w:tcPr>
            <w:tcW w:w="254" w:type="dxa"/>
            <w:vAlign w:val="center"/>
          </w:tcPr>
          <w:p w:rsidR="004B417C" w:rsidRDefault="004B417C">
            <w:pPr>
              <w:spacing w:line="240" w:lineRule="auto"/>
              <w:jc w:val="right"/>
              <w:rPr>
                <w:lang w:val="el-GR"/>
              </w:rPr>
            </w:pPr>
          </w:p>
        </w:tc>
        <w:tc>
          <w:tcPr>
            <w:tcW w:w="1276" w:type="dxa"/>
            <w:vAlign w:val="center"/>
          </w:tcPr>
          <w:p w:rsidR="004B417C" w:rsidRPr="00E77341" w:rsidRDefault="004B417C">
            <w:pPr>
              <w:spacing w:line="240" w:lineRule="auto"/>
              <w:jc w:val="right"/>
              <w:rPr>
                <w:lang w:val="el-GR"/>
              </w:rPr>
            </w:pPr>
            <w:r>
              <w:rPr>
                <w:lang w:val="el-GR"/>
              </w:rPr>
              <w:t>-</w:t>
            </w:r>
          </w:p>
        </w:tc>
      </w:tr>
      <w:tr w:rsidR="004B417C">
        <w:trPr>
          <w:trHeight w:hRule="exact" w:val="340"/>
        </w:trPr>
        <w:tc>
          <w:tcPr>
            <w:tcW w:w="5103" w:type="dxa"/>
            <w:vAlign w:val="center"/>
          </w:tcPr>
          <w:p w:rsidR="004B417C" w:rsidRDefault="004B417C">
            <w:pPr>
              <w:spacing w:line="240" w:lineRule="auto"/>
              <w:jc w:val="both"/>
              <w:rPr>
                <w:lang w:val="el-GR"/>
              </w:rPr>
            </w:pPr>
            <w:r>
              <w:rPr>
                <w:lang w:val="el-GR"/>
              </w:rPr>
              <w:t>Μη εισηγμένες μετοχές- Εξωτερικού</w:t>
            </w:r>
          </w:p>
        </w:tc>
        <w:tc>
          <w:tcPr>
            <w:tcW w:w="1276" w:type="dxa"/>
            <w:tcBorders>
              <w:bottom w:val="single" w:sz="4" w:space="0" w:color="auto"/>
            </w:tcBorders>
            <w:vAlign w:val="center"/>
          </w:tcPr>
          <w:p w:rsidR="004B417C" w:rsidRPr="009D7268" w:rsidRDefault="004B417C">
            <w:pPr>
              <w:spacing w:line="240" w:lineRule="auto"/>
              <w:jc w:val="right"/>
            </w:pPr>
            <w:r>
              <w:t>44</w:t>
            </w:r>
          </w:p>
        </w:tc>
        <w:tc>
          <w:tcPr>
            <w:tcW w:w="254" w:type="dxa"/>
            <w:vAlign w:val="center"/>
          </w:tcPr>
          <w:p w:rsidR="004B417C" w:rsidRDefault="004B417C">
            <w:pPr>
              <w:spacing w:line="240" w:lineRule="auto"/>
              <w:jc w:val="right"/>
              <w:rPr>
                <w:lang w:val="el-GR"/>
              </w:rPr>
            </w:pPr>
          </w:p>
        </w:tc>
        <w:tc>
          <w:tcPr>
            <w:tcW w:w="1276" w:type="dxa"/>
            <w:tcBorders>
              <w:bottom w:val="single" w:sz="4" w:space="0" w:color="auto"/>
            </w:tcBorders>
            <w:vAlign w:val="center"/>
          </w:tcPr>
          <w:p w:rsidR="004B417C" w:rsidRDefault="004B417C">
            <w:pPr>
              <w:spacing w:line="240" w:lineRule="auto"/>
              <w:jc w:val="right"/>
              <w:rPr>
                <w:lang w:val="el-GR"/>
              </w:rPr>
            </w:pPr>
            <w:r>
              <w:rPr>
                <w:lang w:val="el-GR"/>
              </w:rPr>
              <w:t>44</w:t>
            </w:r>
          </w:p>
        </w:tc>
      </w:tr>
      <w:tr w:rsidR="004B417C">
        <w:trPr>
          <w:trHeight w:hRule="exact" w:val="335"/>
        </w:trPr>
        <w:tc>
          <w:tcPr>
            <w:tcW w:w="5103" w:type="dxa"/>
            <w:vAlign w:val="center"/>
          </w:tcPr>
          <w:p w:rsidR="004B417C" w:rsidRDefault="004B417C">
            <w:pPr>
              <w:spacing w:line="240" w:lineRule="auto"/>
              <w:jc w:val="both"/>
              <w:rPr>
                <w:lang w:val="el-GR"/>
              </w:rPr>
            </w:pPr>
            <w:r>
              <w:rPr>
                <w:lang w:val="el-GR"/>
              </w:rPr>
              <w:t>Σύνολο μη εισηγμένων μετοχών</w:t>
            </w:r>
          </w:p>
        </w:tc>
        <w:tc>
          <w:tcPr>
            <w:tcW w:w="1276" w:type="dxa"/>
            <w:tcBorders>
              <w:top w:val="single" w:sz="4" w:space="0" w:color="auto"/>
            </w:tcBorders>
            <w:vAlign w:val="center"/>
          </w:tcPr>
          <w:p w:rsidR="004B417C" w:rsidRPr="009D7268" w:rsidRDefault="004B417C">
            <w:pPr>
              <w:spacing w:line="240" w:lineRule="auto"/>
              <w:jc w:val="right"/>
              <w:rPr>
                <w:b/>
              </w:rPr>
            </w:pPr>
            <w:r>
              <w:rPr>
                <w:b/>
              </w:rPr>
              <w:t>44</w:t>
            </w:r>
          </w:p>
        </w:tc>
        <w:tc>
          <w:tcPr>
            <w:tcW w:w="254" w:type="dxa"/>
            <w:vAlign w:val="center"/>
          </w:tcPr>
          <w:p w:rsidR="004B417C" w:rsidRPr="00E51638" w:rsidRDefault="004B417C">
            <w:pPr>
              <w:spacing w:line="240" w:lineRule="auto"/>
              <w:jc w:val="right"/>
              <w:rPr>
                <w:b/>
                <w:lang w:val="el-GR"/>
              </w:rPr>
            </w:pPr>
          </w:p>
        </w:tc>
        <w:tc>
          <w:tcPr>
            <w:tcW w:w="1276" w:type="dxa"/>
            <w:tcBorders>
              <w:top w:val="single" w:sz="4" w:space="0" w:color="auto"/>
            </w:tcBorders>
            <w:vAlign w:val="center"/>
          </w:tcPr>
          <w:p w:rsidR="004B417C" w:rsidRPr="00FB63CC" w:rsidRDefault="004B417C">
            <w:pPr>
              <w:spacing w:line="240" w:lineRule="auto"/>
              <w:jc w:val="right"/>
              <w:rPr>
                <w:b/>
                <w:lang w:val="el-GR"/>
              </w:rPr>
            </w:pPr>
            <w:r>
              <w:rPr>
                <w:b/>
                <w:lang w:val="el-GR"/>
              </w:rPr>
              <w:t>44</w:t>
            </w:r>
          </w:p>
        </w:tc>
      </w:tr>
      <w:tr w:rsidR="004B417C" w:rsidRPr="00E51638">
        <w:trPr>
          <w:trHeight w:hRule="exact" w:val="232"/>
        </w:trPr>
        <w:tc>
          <w:tcPr>
            <w:tcW w:w="5103" w:type="dxa"/>
            <w:vAlign w:val="center"/>
          </w:tcPr>
          <w:p w:rsidR="004B417C" w:rsidRPr="00E51638" w:rsidRDefault="004B417C">
            <w:pPr>
              <w:spacing w:line="240" w:lineRule="auto"/>
              <w:jc w:val="both"/>
              <w:rPr>
                <w:sz w:val="16"/>
                <w:szCs w:val="16"/>
                <w:lang w:val="el-GR"/>
              </w:rPr>
            </w:pPr>
          </w:p>
        </w:tc>
        <w:tc>
          <w:tcPr>
            <w:tcW w:w="1276" w:type="dxa"/>
            <w:tcBorders>
              <w:top w:val="single" w:sz="4" w:space="0" w:color="auto"/>
            </w:tcBorders>
            <w:vAlign w:val="center"/>
          </w:tcPr>
          <w:p w:rsidR="004B417C" w:rsidRPr="00E51638" w:rsidRDefault="004B417C">
            <w:pPr>
              <w:spacing w:line="240" w:lineRule="auto"/>
              <w:jc w:val="right"/>
              <w:rPr>
                <w:b/>
                <w:sz w:val="16"/>
                <w:szCs w:val="16"/>
              </w:rPr>
            </w:pPr>
          </w:p>
        </w:tc>
        <w:tc>
          <w:tcPr>
            <w:tcW w:w="254" w:type="dxa"/>
            <w:vAlign w:val="center"/>
          </w:tcPr>
          <w:p w:rsidR="004B417C" w:rsidRPr="00E51638" w:rsidRDefault="004B417C">
            <w:pPr>
              <w:spacing w:line="240" w:lineRule="auto"/>
              <w:jc w:val="right"/>
              <w:rPr>
                <w:b/>
                <w:sz w:val="16"/>
                <w:szCs w:val="16"/>
                <w:lang w:val="el-GR"/>
              </w:rPr>
            </w:pPr>
          </w:p>
        </w:tc>
        <w:tc>
          <w:tcPr>
            <w:tcW w:w="1276" w:type="dxa"/>
            <w:tcBorders>
              <w:top w:val="single" w:sz="4" w:space="0" w:color="auto"/>
            </w:tcBorders>
            <w:vAlign w:val="center"/>
          </w:tcPr>
          <w:p w:rsidR="004B417C" w:rsidRPr="00E51638" w:rsidRDefault="004B417C">
            <w:pPr>
              <w:spacing w:line="240" w:lineRule="auto"/>
              <w:jc w:val="right"/>
              <w:rPr>
                <w:b/>
                <w:sz w:val="16"/>
                <w:szCs w:val="16"/>
              </w:rPr>
            </w:pPr>
          </w:p>
        </w:tc>
      </w:tr>
      <w:tr w:rsidR="004B417C">
        <w:trPr>
          <w:trHeight w:hRule="exact" w:val="74"/>
        </w:trPr>
        <w:tc>
          <w:tcPr>
            <w:tcW w:w="5103" w:type="dxa"/>
            <w:vAlign w:val="center"/>
          </w:tcPr>
          <w:p w:rsidR="004B417C" w:rsidRDefault="004B417C">
            <w:pPr>
              <w:spacing w:line="240" w:lineRule="auto"/>
              <w:jc w:val="both"/>
              <w:rPr>
                <w:lang w:val="el-GR"/>
              </w:rPr>
            </w:pPr>
          </w:p>
        </w:tc>
        <w:tc>
          <w:tcPr>
            <w:tcW w:w="1276" w:type="dxa"/>
            <w:tcBorders>
              <w:bottom w:val="single" w:sz="4" w:space="0" w:color="auto"/>
            </w:tcBorders>
            <w:vAlign w:val="center"/>
          </w:tcPr>
          <w:p w:rsidR="004B417C" w:rsidRDefault="004B417C">
            <w:pPr>
              <w:spacing w:line="240" w:lineRule="auto"/>
              <w:jc w:val="right"/>
              <w:rPr>
                <w:lang w:val="el-GR"/>
              </w:rPr>
            </w:pPr>
          </w:p>
        </w:tc>
        <w:tc>
          <w:tcPr>
            <w:tcW w:w="254" w:type="dxa"/>
            <w:vAlign w:val="center"/>
          </w:tcPr>
          <w:p w:rsidR="004B417C" w:rsidRDefault="004B417C">
            <w:pPr>
              <w:spacing w:line="240" w:lineRule="auto"/>
              <w:jc w:val="right"/>
              <w:rPr>
                <w:lang w:val="el-GR"/>
              </w:rPr>
            </w:pPr>
          </w:p>
        </w:tc>
        <w:tc>
          <w:tcPr>
            <w:tcW w:w="1276" w:type="dxa"/>
            <w:tcBorders>
              <w:bottom w:val="single" w:sz="4" w:space="0" w:color="auto"/>
            </w:tcBorders>
            <w:vAlign w:val="center"/>
          </w:tcPr>
          <w:p w:rsidR="004B417C" w:rsidRDefault="004B417C">
            <w:pPr>
              <w:spacing w:line="240" w:lineRule="auto"/>
              <w:jc w:val="right"/>
              <w:rPr>
                <w:lang w:val="el-GR"/>
              </w:rPr>
            </w:pPr>
          </w:p>
        </w:tc>
      </w:tr>
      <w:tr w:rsidR="004B417C">
        <w:trPr>
          <w:trHeight w:hRule="exact" w:val="340"/>
        </w:trPr>
        <w:tc>
          <w:tcPr>
            <w:tcW w:w="5103" w:type="dxa"/>
            <w:vAlign w:val="center"/>
          </w:tcPr>
          <w:p w:rsidR="004B417C" w:rsidRDefault="004B417C">
            <w:pPr>
              <w:spacing w:line="240" w:lineRule="auto"/>
              <w:jc w:val="both"/>
              <w:rPr>
                <w:lang w:val="el-GR"/>
              </w:rPr>
            </w:pPr>
          </w:p>
        </w:tc>
        <w:tc>
          <w:tcPr>
            <w:tcW w:w="1276" w:type="dxa"/>
            <w:tcBorders>
              <w:top w:val="single" w:sz="4" w:space="0" w:color="auto"/>
              <w:bottom w:val="double" w:sz="4" w:space="0" w:color="auto"/>
            </w:tcBorders>
            <w:vAlign w:val="center"/>
          </w:tcPr>
          <w:p w:rsidR="004B417C" w:rsidRPr="00BC1414" w:rsidRDefault="004B417C">
            <w:pPr>
              <w:spacing w:line="240" w:lineRule="auto"/>
              <w:jc w:val="right"/>
              <w:rPr>
                <w:b/>
                <w:bCs/>
                <w:lang w:val="el-GR"/>
              </w:rPr>
            </w:pPr>
            <w:r>
              <w:rPr>
                <w:b/>
                <w:bCs/>
              </w:rPr>
              <w:t>3</w:t>
            </w:r>
            <w:r>
              <w:rPr>
                <w:b/>
                <w:bCs/>
                <w:lang w:val="el-GR"/>
              </w:rPr>
              <w:t>92</w:t>
            </w:r>
          </w:p>
        </w:tc>
        <w:tc>
          <w:tcPr>
            <w:tcW w:w="254" w:type="dxa"/>
            <w:vAlign w:val="center"/>
          </w:tcPr>
          <w:p w:rsidR="004B417C" w:rsidRDefault="004B417C">
            <w:pPr>
              <w:spacing w:line="240" w:lineRule="auto"/>
              <w:jc w:val="right"/>
              <w:rPr>
                <w:b/>
                <w:bCs/>
                <w:lang w:val="el-GR"/>
              </w:rPr>
            </w:pPr>
          </w:p>
        </w:tc>
        <w:tc>
          <w:tcPr>
            <w:tcW w:w="1276" w:type="dxa"/>
            <w:tcBorders>
              <w:top w:val="single" w:sz="4" w:space="0" w:color="auto"/>
              <w:bottom w:val="double" w:sz="4" w:space="0" w:color="auto"/>
            </w:tcBorders>
            <w:vAlign w:val="center"/>
          </w:tcPr>
          <w:p w:rsidR="004B417C" w:rsidRPr="00E77341" w:rsidRDefault="004B417C">
            <w:pPr>
              <w:spacing w:line="240" w:lineRule="auto"/>
              <w:jc w:val="right"/>
              <w:rPr>
                <w:b/>
                <w:bCs/>
                <w:lang w:val="el-GR"/>
              </w:rPr>
            </w:pPr>
            <w:r>
              <w:rPr>
                <w:b/>
                <w:bCs/>
                <w:lang w:val="el-GR"/>
              </w:rPr>
              <w:t>379</w:t>
            </w:r>
          </w:p>
        </w:tc>
      </w:tr>
    </w:tbl>
    <w:p w:rsidR="004B417C" w:rsidRDefault="004B417C" w:rsidP="006C0DB7">
      <w:pPr>
        <w:pStyle w:val="Heading2"/>
        <w:rPr>
          <w:lang w:val="el-GR"/>
        </w:rPr>
      </w:pPr>
    </w:p>
    <w:p w:rsidR="004B417C" w:rsidRDefault="004B417C" w:rsidP="006C0DB7">
      <w:pPr>
        <w:pStyle w:val="Heading2"/>
        <w:rPr>
          <w:lang w:val="el-GR"/>
        </w:rPr>
      </w:pPr>
      <w:r>
        <w:rPr>
          <w:lang w:val="el-GR"/>
        </w:rPr>
        <w:t>10.1</w:t>
      </w:r>
      <w:r>
        <w:rPr>
          <w:lang w:val="el-GR"/>
        </w:rPr>
        <w:tab/>
        <w:t>Μετοχές εισηγμένες</w:t>
      </w:r>
    </w:p>
    <w:tbl>
      <w:tblPr>
        <w:tblW w:w="8613" w:type="dxa"/>
        <w:tblInd w:w="108" w:type="dxa"/>
        <w:tblLayout w:type="fixed"/>
        <w:tblLook w:val="0000"/>
      </w:tblPr>
      <w:tblGrid>
        <w:gridCol w:w="3393"/>
        <w:gridCol w:w="1260"/>
        <w:gridCol w:w="1260"/>
        <w:gridCol w:w="236"/>
        <w:gridCol w:w="1232"/>
        <w:gridCol w:w="1232"/>
      </w:tblGrid>
      <w:tr w:rsidR="004B417C">
        <w:trPr>
          <w:trHeight w:hRule="exact" w:val="340"/>
        </w:trPr>
        <w:tc>
          <w:tcPr>
            <w:tcW w:w="3393" w:type="dxa"/>
            <w:vAlign w:val="center"/>
          </w:tcPr>
          <w:p w:rsidR="004B417C" w:rsidRDefault="004B417C">
            <w:pPr>
              <w:spacing w:line="240" w:lineRule="auto"/>
              <w:jc w:val="both"/>
              <w:rPr>
                <w:b/>
                <w:lang w:val="el-GR"/>
              </w:rPr>
            </w:pPr>
          </w:p>
        </w:tc>
        <w:tc>
          <w:tcPr>
            <w:tcW w:w="2520" w:type="dxa"/>
            <w:gridSpan w:val="2"/>
            <w:tcBorders>
              <w:bottom w:val="single" w:sz="4" w:space="0" w:color="auto"/>
            </w:tcBorders>
            <w:vAlign w:val="center"/>
          </w:tcPr>
          <w:p w:rsidR="004B417C" w:rsidRDefault="004B417C">
            <w:pPr>
              <w:spacing w:line="240" w:lineRule="auto"/>
              <w:jc w:val="center"/>
              <w:rPr>
                <w:b/>
                <w:color w:val="FF0000"/>
                <w:lang w:val="el-GR"/>
              </w:rPr>
            </w:pPr>
            <w:r>
              <w:rPr>
                <w:b/>
                <w:lang w:val="el-GR"/>
              </w:rPr>
              <w:t>2012</w:t>
            </w:r>
          </w:p>
        </w:tc>
        <w:tc>
          <w:tcPr>
            <w:tcW w:w="236" w:type="dxa"/>
            <w:vAlign w:val="center"/>
          </w:tcPr>
          <w:p w:rsidR="004B417C" w:rsidRDefault="004B417C">
            <w:pPr>
              <w:spacing w:line="240" w:lineRule="auto"/>
              <w:jc w:val="center"/>
              <w:rPr>
                <w:b/>
                <w:lang w:val="el-GR"/>
              </w:rPr>
            </w:pPr>
          </w:p>
        </w:tc>
        <w:tc>
          <w:tcPr>
            <w:tcW w:w="2464" w:type="dxa"/>
            <w:gridSpan w:val="2"/>
            <w:tcBorders>
              <w:bottom w:val="single" w:sz="4" w:space="0" w:color="auto"/>
            </w:tcBorders>
            <w:vAlign w:val="center"/>
          </w:tcPr>
          <w:p w:rsidR="004B417C" w:rsidRDefault="004B417C">
            <w:pPr>
              <w:spacing w:line="240" w:lineRule="auto"/>
              <w:jc w:val="center"/>
              <w:rPr>
                <w:b/>
                <w:color w:val="FF0000"/>
                <w:lang w:val="el-GR"/>
              </w:rPr>
            </w:pPr>
            <w:r>
              <w:rPr>
                <w:b/>
                <w:lang w:val="el-GR"/>
              </w:rPr>
              <w:t>2011</w:t>
            </w:r>
          </w:p>
        </w:tc>
      </w:tr>
      <w:tr w:rsidR="004B417C">
        <w:trPr>
          <w:trHeight w:val="340"/>
        </w:trPr>
        <w:tc>
          <w:tcPr>
            <w:tcW w:w="3393" w:type="dxa"/>
            <w:vAlign w:val="center"/>
          </w:tcPr>
          <w:p w:rsidR="004B417C" w:rsidRDefault="004B417C">
            <w:pPr>
              <w:spacing w:line="240" w:lineRule="auto"/>
              <w:jc w:val="both"/>
              <w:rPr>
                <w:b/>
                <w:color w:val="FF0000"/>
                <w:lang w:val="el-GR"/>
              </w:rPr>
            </w:pPr>
          </w:p>
        </w:tc>
        <w:tc>
          <w:tcPr>
            <w:tcW w:w="1260" w:type="dxa"/>
            <w:tcBorders>
              <w:top w:val="single" w:sz="4" w:space="0" w:color="auto"/>
            </w:tcBorders>
            <w:vAlign w:val="center"/>
          </w:tcPr>
          <w:p w:rsidR="004B417C" w:rsidRDefault="004B417C">
            <w:pPr>
              <w:spacing w:line="240" w:lineRule="auto"/>
              <w:jc w:val="center"/>
              <w:rPr>
                <w:b/>
                <w:lang w:val="el-GR"/>
              </w:rPr>
            </w:pPr>
            <w:r>
              <w:rPr>
                <w:b/>
                <w:lang w:val="el-GR"/>
              </w:rPr>
              <w:br/>
              <w:t>Τεμάχια</w:t>
            </w:r>
          </w:p>
        </w:tc>
        <w:tc>
          <w:tcPr>
            <w:tcW w:w="1260" w:type="dxa"/>
            <w:tcBorders>
              <w:top w:val="single" w:sz="4" w:space="0" w:color="auto"/>
            </w:tcBorders>
            <w:vAlign w:val="center"/>
          </w:tcPr>
          <w:p w:rsidR="004B417C" w:rsidRDefault="004B417C">
            <w:pPr>
              <w:spacing w:line="240" w:lineRule="auto"/>
              <w:jc w:val="center"/>
              <w:rPr>
                <w:b/>
                <w:lang w:val="el-GR"/>
              </w:rPr>
            </w:pPr>
            <w:r>
              <w:rPr>
                <w:b/>
                <w:lang w:val="el-GR"/>
              </w:rPr>
              <w:t>Εύλογη αξία</w:t>
            </w:r>
          </w:p>
        </w:tc>
        <w:tc>
          <w:tcPr>
            <w:tcW w:w="236" w:type="dxa"/>
            <w:vAlign w:val="center"/>
          </w:tcPr>
          <w:p w:rsidR="004B417C" w:rsidRDefault="004B417C">
            <w:pPr>
              <w:spacing w:line="240" w:lineRule="auto"/>
              <w:jc w:val="center"/>
              <w:rPr>
                <w:b/>
                <w:lang w:val="el-GR"/>
              </w:rPr>
            </w:pPr>
          </w:p>
        </w:tc>
        <w:tc>
          <w:tcPr>
            <w:tcW w:w="1232" w:type="dxa"/>
            <w:tcBorders>
              <w:top w:val="single" w:sz="4" w:space="0" w:color="auto"/>
            </w:tcBorders>
            <w:vAlign w:val="center"/>
          </w:tcPr>
          <w:p w:rsidR="004B417C" w:rsidRDefault="004B417C">
            <w:pPr>
              <w:spacing w:line="240" w:lineRule="auto"/>
              <w:jc w:val="center"/>
              <w:rPr>
                <w:b/>
                <w:lang w:val="el-GR"/>
              </w:rPr>
            </w:pPr>
            <w:r>
              <w:rPr>
                <w:b/>
                <w:lang w:val="el-GR"/>
              </w:rPr>
              <w:br/>
              <w:t>Τεμάχια</w:t>
            </w:r>
          </w:p>
        </w:tc>
        <w:tc>
          <w:tcPr>
            <w:tcW w:w="1232" w:type="dxa"/>
            <w:tcBorders>
              <w:top w:val="single" w:sz="4" w:space="0" w:color="auto"/>
            </w:tcBorders>
            <w:vAlign w:val="center"/>
          </w:tcPr>
          <w:p w:rsidR="004B417C" w:rsidRDefault="004B417C">
            <w:pPr>
              <w:spacing w:line="240" w:lineRule="auto"/>
              <w:jc w:val="center"/>
              <w:rPr>
                <w:b/>
                <w:lang w:val="el-GR"/>
              </w:rPr>
            </w:pPr>
            <w:r>
              <w:rPr>
                <w:b/>
                <w:lang w:val="el-GR"/>
              </w:rPr>
              <w:t>Εύλογη αξία</w:t>
            </w:r>
          </w:p>
        </w:tc>
      </w:tr>
      <w:tr w:rsidR="004B417C">
        <w:trPr>
          <w:trHeight w:hRule="exact" w:val="340"/>
        </w:trPr>
        <w:tc>
          <w:tcPr>
            <w:tcW w:w="3393" w:type="dxa"/>
            <w:vAlign w:val="center"/>
          </w:tcPr>
          <w:p w:rsidR="004B417C" w:rsidRDefault="004B417C">
            <w:pPr>
              <w:spacing w:line="240" w:lineRule="auto"/>
              <w:jc w:val="both"/>
              <w:rPr>
                <w:lang w:val="el-GR"/>
              </w:rPr>
            </w:pPr>
            <w:r>
              <w:rPr>
                <w:lang w:val="el-GR"/>
              </w:rPr>
              <w:t>Κ.Α.Ε.</w:t>
            </w:r>
          </w:p>
        </w:tc>
        <w:tc>
          <w:tcPr>
            <w:tcW w:w="1260" w:type="dxa"/>
            <w:vAlign w:val="center"/>
          </w:tcPr>
          <w:p w:rsidR="004B417C" w:rsidRPr="00E0042D" w:rsidRDefault="004B417C">
            <w:pPr>
              <w:spacing w:line="240" w:lineRule="auto"/>
              <w:jc w:val="right"/>
              <w:rPr>
                <w:lang w:val="el-GR"/>
              </w:rPr>
            </w:pPr>
            <w:r>
              <w:rPr>
                <w:lang w:val="el-GR"/>
              </w:rPr>
              <w:t>26.764</w:t>
            </w:r>
          </w:p>
        </w:tc>
        <w:tc>
          <w:tcPr>
            <w:tcW w:w="1260" w:type="dxa"/>
            <w:vAlign w:val="center"/>
          </w:tcPr>
          <w:p w:rsidR="004B417C" w:rsidRPr="00BC1414" w:rsidRDefault="004B417C">
            <w:pPr>
              <w:spacing w:line="240" w:lineRule="auto"/>
              <w:jc w:val="right"/>
              <w:rPr>
                <w:lang w:val="el-GR"/>
              </w:rPr>
            </w:pPr>
            <w:r>
              <w:rPr>
                <w:lang w:val="el-GR"/>
              </w:rPr>
              <w:t>348</w:t>
            </w:r>
          </w:p>
        </w:tc>
        <w:tc>
          <w:tcPr>
            <w:tcW w:w="236" w:type="dxa"/>
            <w:vAlign w:val="center"/>
          </w:tcPr>
          <w:p w:rsidR="004B417C" w:rsidRDefault="004B417C">
            <w:pPr>
              <w:spacing w:line="240" w:lineRule="auto"/>
              <w:jc w:val="right"/>
              <w:rPr>
                <w:lang w:val="el-GR"/>
              </w:rPr>
            </w:pPr>
          </w:p>
        </w:tc>
        <w:tc>
          <w:tcPr>
            <w:tcW w:w="1232" w:type="dxa"/>
            <w:vAlign w:val="center"/>
          </w:tcPr>
          <w:p w:rsidR="004B417C" w:rsidRDefault="004B417C">
            <w:pPr>
              <w:spacing w:line="240" w:lineRule="auto"/>
              <w:jc w:val="right"/>
              <w:rPr>
                <w:lang w:val="el-GR"/>
              </w:rPr>
            </w:pPr>
            <w:r>
              <w:rPr>
                <w:lang w:val="el-GR"/>
              </w:rPr>
              <w:t>26.764</w:t>
            </w:r>
          </w:p>
        </w:tc>
        <w:tc>
          <w:tcPr>
            <w:tcW w:w="1232" w:type="dxa"/>
            <w:vAlign w:val="center"/>
          </w:tcPr>
          <w:p w:rsidR="004B417C" w:rsidRDefault="004B417C">
            <w:pPr>
              <w:spacing w:line="240" w:lineRule="auto"/>
              <w:jc w:val="right"/>
              <w:rPr>
                <w:lang w:val="el-GR"/>
              </w:rPr>
            </w:pPr>
            <w:r>
              <w:rPr>
                <w:lang w:val="el-GR"/>
              </w:rPr>
              <w:t>207</w:t>
            </w:r>
          </w:p>
        </w:tc>
      </w:tr>
      <w:tr w:rsidR="004B417C">
        <w:trPr>
          <w:trHeight w:hRule="exact" w:val="340"/>
        </w:trPr>
        <w:tc>
          <w:tcPr>
            <w:tcW w:w="3393" w:type="dxa"/>
            <w:vAlign w:val="center"/>
          </w:tcPr>
          <w:p w:rsidR="004B417C" w:rsidRDefault="004B417C">
            <w:pPr>
              <w:spacing w:line="240" w:lineRule="auto"/>
              <w:jc w:val="both"/>
              <w:rPr>
                <w:lang w:val="el-GR"/>
              </w:rPr>
            </w:pPr>
            <w:r>
              <w:rPr>
                <w:lang w:val="el-GR"/>
              </w:rPr>
              <w:t>ΑΓΡΟΤΙΚΗ ΤΡΑΠΕΖΑ</w:t>
            </w:r>
          </w:p>
        </w:tc>
        <w:tc>
          <w:tcPr>
            <w:tcW w:w="1260" w:type="dxa"/>
            <w:vAlign w:val="center"/>
          </w:tcPr>
          <w:p w:rsidR="004B417C" w:rsidRPr="00BC1414" w:rsidRDefault="00D97A05">
            <w:pPr>
              <w:spacing w:line="240" w:lineRule="auto"/>
              <w:jc w:val="right"/>
              <w:rPr>
                <w:bCs/>
                <w:lang w:val="el-GR"/>
              </w:rPr>
            </w:pPr>
            <w:r>
              <w:rPr>
                <w:bCs/>
                <w:lang w:val="el-GR"/>
              </w:rPr>
              <w:t>433.062</w:t>
            </w:r>
          </w:p>
        </w:tc>
        <w:tc>
          <w:tcPr>
            <w:tcW w:w="1260" w:type="dxa"/>
            <w:tcBorders>
              <w:bottom w:val="single" w:sz="4" w:space="0" w:color="auto"/>
            </w:tcBorders>
            <w:vAlign w:val="center"/>
          </w:tcPr>
          <w:p w:rsidR="004B417C" w:rsidRPr="00BC1414" w:rsidRDefault="004B417C">
            <w:pPr>
              <w:spacing w:line="240" w:lineRule="auto"/>
              <w:jc w:val="right"/>
              <w:rPr>
                <w:bCs/>
                <w:lang w:val="el-GR"/>
              </w:rPr>
            </w:pPr>
            <w:r>
              <w:rPr>
                <w:bCs/>
                <w:lang w:val="el-GR"/>
              </w:rPr>
              <w:t>-</w:t>
            </w:r>
          </w:p>
        </w:tc>
        <w:tc>
          <w:tcPr>
            <w:tcW w:w="236" w:type="dxa"/>
            <w:vAlign w:val="center"/>
          </w:tcPr>
          <w:p w:rsidR="004B417C" w:rsidRDefault="004B417C">
            <w:pPr>
              <w:spacing w:line="240" w:lineRule="auto"/>
              <w:jc w:val="right"/>
              <w:rPr>
                <w:bCs/>
                <w:lang w:val="el-GR"/>
              </w:rPr>
            </w:pPr>
          </w:p>
        </w:tc>
        <w:tc>
          <w:tcPr>
            <w:tcW w:w="1232" w:type="dxa"/>
            <w:vAlign w:val="center"/>
          </w:tcPr>
          <w:p w:rsidR="004B417C" w:rsidRDefault="004B417C">
            <w:pPr>
              <w:spacing w:line="240" w:lineRule="auto"/>
              <w:jc w:val="right"/>
              <w:rPr>
                <w:bCs/>
                <w:lang w:val="el-GR"/>
              </w:rPr>
            </w:pPr>
            <w:r>
              <w:rPr>
                <w:bCs/>
                <w:lang w:val="el-GR"/>
              </w:rPr>
              <w:t>433.062</w:t>
            </w:r>
          </w:p>
        </w:tc>
        <w:tc>
          <w:tcPr>
            <w:tcW w:w="1232" w:type="dxa"/>
            <w:tcBorders>
              <w:bottom w:val="single" w:sz="4" w:space="0" w:color="auto"/>
            </w:tcBorders>
            <w:vAlign w:val="center"/>
          </w:tcPr>
          <w:p w:rsidR="004B417C" w:rsidRDefault="004B417C">
            <w:pPr>
              <w:spacing w:line="240" w:lineRule="auto"/>
              <w:jc w:val="right"/>
              <w:rPr>
                <w:bCs/>
                <w:lang w:val="el-GR"/>
              </w:rPr>
            </w:pPr>
            <w:r>
              <w:rPr>
                <w:bCs/>
                <w:lang w:val="el-GR"/>
              </w:rPr>
              <w:t>128</w:t>
            </w:r>
          </w:p>
        </w:tc>
      </w:tr>
      <w:tr w:rsidR="004B417C">
        <w:trPr>
          <w:trHeight w:hRule="exact" w:val="340"/>
        </w:trPr>
        <w:tc>
          <w:tcPr>
            <w:tcW w:w="3393" w:type="dxa"/>
            <w:vAlign w:val="center"/>
          </w:tcPr>
          <w:p w:rsidR="004B417C" w:rsidRDefault="004B417C">
            <w:pPr>
              <w:pStyle w:val="Body"/>
              <w:keepLines w:val="0"/>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after="0" w:line="240" w:lineRule="auto"/>
            </w:pPr>
          </w:p>
        </w:tc>
        <w:tc>
          <w:tcPr>
            <w:tcW w:w="1260" w:type="dxa"/>
            <w:vAlign w:val="center"/>
          </w:tcPr>
          <w:p w:rsidR="004B417C" w:rsidRDefault="004B417C">
            <w:pPr>
              <w:spacing w:line="240" w:lineRule="auto"/>
              <w:jc w:val="right"/>
              <w:rPr>
                <w:b/>
                <w:bCs/>
                <w:lang w:val="el-GR"/>
              </w:rPr>
            </w:pPr>
          </w:p>
        </w:tc>
        <w:tc>
          <w:tcPr>
            <w:tcW w:w="1260" w:type="dxa"/>
            <w:tcBorders>
              <w:top w:val="single" w:sz="4" w:space="0" w:color="auto"/>
              <w:bottom w:val="double" w:sz="4" w:space="0" w:color="auto"/>
            </w:tcBorders>
            <w:vAlign w:val="center"/>
          </w:tcPr>
          <w:p w:rsidR="004B417C" w:rsidRPr="00BC1414" w:rsidRDefault="004B417C">
            <w:pPr>
              <w:spacing w:line="240" w:lineRule="auto"/>
              <w:jc w:val="right"/>
              <w:rPr>
                <w:b/>
                <w:bCs/>
                <w:lang w:val="el-GR"/>
              </w:rPr>
            </w:pPr>
            <w:r>
              <w:rPr>
                <w:b/>
                <w:bCs/>
                <w:lang w:val="el-GR"/>
              </w:rPr>
              <w:t>348</w:t>
            </w:r>
          </w:p>
        </w:tc>
        <w:tc>
          <w:tcPr>
            <w:tcW w:w="236" w:type="dxa"/>
            <w:vAlign w:val="center"/>
          </w:tcPr>
          <w:p w:rsidR="004B417C" w:rsidRDefault="004B417C">
            <w:pPr>
              <w:spacing w:line="240" w:lineRule="auto"/>
              <w:jc w:val="right"/>
              <w:rPr>
                <w:b/>
                <w:bCs/>
                <w:lang w:val="el-GR"/>
              </w:rPr>
            </w:pPr>
          </w:p>
        </w:tc>
        <w:tc>
          <w:tcPr>
            <w:tcW w:w="1232" w:type="dxa"/>
            <w:vAlign w:val="center"/>
          </w:tcPr>
          <w:p w:rsidR="004B417C" w:rsidRDefault="004B417C">
            <w:pPr>
              <w:spacing w:line="240" w:lineRule="auto"/>
              <w:jc w:val="right"/>
              <w:rPr>
                <w:b/>
                <w:bCs/>
                <w:lang w:val="el-GR"/>
              </w:rPr>
            </w:pPr>
          </w:p>
        </w:tc>
        <w:tc>
          <w:tcPr>
            <w:tcW w:w="1232" w:type="dxa"/>
            <w:tcBorders>
              <w:top w:val="single" w:sz="4" w:space="0" w:color="auto"/>
              <w:bottom w:val="double" w:sz="4" w:space="0" w:color="auto"/>
            </w:tcBorders>
            <w:vAlign w:val="center"/>
          </w:tcPr>
          <w:p w:rsidR="004B417C" w:rsidRDefault="004B417C">
            <w:pPr>
              <w:spacing w:line="240" w:lineRule="auto"/>
              <w:jc w:val="right"/>
              <w:rPr>
                <w:b/>
                <w:bCs/>
                <w:lang w:val="el-GR"/>
              </w:rPr>
            </w:pPr>
            <w:r>
              <w:rPr>
                <w:b/>
                <w:bCs/>
                <w:lang w:val="el-GR"/>
              </w:rPr>
              <w:t>335</w:t>
            </w:r>
          </w:p>
        </w:tc>
      </w:tr>
    </w:tbl>
    <w:p w:rsidR="006C0DB7" w:rsidRDefault="006C0DB7" w:rsidP="00040C6D">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17"/>
          <w:lang w:val="el-GR"/>
        </w:rPr>
      </w:pPr>
    </w:p>
    <w:p w:rsidR="004B417C" w:rsidRPr="00D357CD" w:rsidRDefault="004B417C" w:rsidP="00040C6D">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17"/>
          <w:lang w:val="el-GR"/>
        </w:rPr>
      </w:pPr>
      <w:r w:rsidRPr="00D357CD">
        <w:rPr>
          <w:szCs w:val="17"/>
          <w:lang w:val="el-GR"/>
        </w:rPr>
        <w:t xml:space="preserve">Οι </w:t>
      </w:r>
      <w:r>
        <w:rPr>
          <w:szCs w:val="17"/>
          <w:lang w:val="el-GR"/>
        </w:rPr>
        <w:t xml:space="preserve"> </w:t>
      </w:r>
      <w:r w:rsidRPr="00D357CD">
        <w:rPr>
          <w:szCs w:val="17"/>
          <w:lang w:val="el-GR"/>
        </w:rPr>
        <w:t xml:space="preserve"> μη εισηγμένες μετοχές εξωτερικού </w:t>
      </w:r>
      <w:r>
        <w:rPr>
          <w:szCs w:val="17"/>
          <w:lang w:val="el-GR"/>
        </w:rPr>
        <w:t xml:space="preserve"> αφορούν </w:t>
      </w:r>
      <w:r w:rsidRPr="00D357CD">
        <w:rPr>
          <w:szCs w:val="17"/>
          <w:lang w:val="el-GR"/>
        </w:rPr>
        <w:t>σε συμμετοχή στην εταιρεία ABG INSURANCE (Ρουμανία) με ποσοστό 0,53%.</w:t>
      </w:r>
      <w:r>
        <w:rPr>
          <w:szCs w:val="17"/>
          <w:lang w:val="el-GR"/>
        </w:rPr>
        <w:t xml:space="preserve"> Κατά την χρήση 2010 η εταιρεία συμμετείχε στην αύξηση του μετοχικού κεφαλαίου της </w:t>
      </w:r>
      <w:r>
        <w:rPr>
          <w:szCs w:val="17"/>
        </w:rPr>
        <w:t>ABG</w:t>
      </w:r>
      <w:r w:rsidRPr="00D357CD">
        <w:rPr>
          <w:szCs w:val="17"/>
          <w:lang w:val="el-GR"/>
        </w:rPr>
        <w:t xml:space="preserve"> </w:t>
      </w:r>
      <w:r>
        <w:rPr>
          <w:szCs w:val="17"/>
        </w:rPr>
        <w:t>INSURANCE</w:t>
      </w:r>
      <w:r w:rsidRPr="00D357CD">
        <w:rPr>
          <w:szCs w:val="17"/>
          <w:lang w:val="el-GR"/>
        </w:rPr>
        <w:t xml:space="preserve"> </w:t>
      </w:r>
      <w:r>
        <w:rPr>
          <w:szCs w:val="17"/>
          <w:lang w:val="el-GR"/>
        </w:rPr>
        <w:t xml:space="preserve">κατά αναλογία του ποσοστού συμμετοχής  της. </w:t>
      </w:r>
    </w:p>
    <w:p w:rsidR="004B417C" w:rsidRPr="00B06C17"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b/>
          <w:szCs w:val="22"/>
          <w:lang w:val="el-GR"/>
        </w:rPr>
      </w:pPr>
      <w:bookmarkStart w:id="23" w:name="_Toc128477834"/>
    </w:p>
    <w:p w:rsidR="004B417C" w:rsidRPr="006B1B03" w:rsidRDefault="004B417C" w:rsidP="00AC2D11">
      <w:pPr>
        <w:pStyle w:val="Heading1"/>
        <w:keepLines/>
        <w:numPr>
          <w:ilvl w:val="0"/>
          <w:numId w:val="32"/>
        </w:numPr>
        <w:shd w:val="clear" w:color="auto" w:fill="auto"/>
        <w:spacing w:before="130" w:line="280" w:lineRule="atLeast"/>
        <w:ind w:left="357" w:hanging="357"/>
        <w:rPr>
          <w:szCs w:val="22"/>
          <w:lang w:val="el-GR"/>
        </w:rPr>
      </w:pPr>
      <w:r w:rsidRPr="006B1B03">
        <w:rPr>
          <w:szCs w:val="22"/>
          <w:lang w:val="el-GR"/>
        </w:rPr>
        <w:t>Συμμετοχές σε συνδεδεμένες επιχειρήσεις</w:t>
      </w:r>
      <w:bookmarkEnd w:id="23"/>
    </w:p>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ind w:left="567"/>
        <w:jc w:val="both"/>
        <w:rPr>
          <w:szCs w:val="17"/>
          <w:lang w:val="el-GR"/>
        </w:rPr>
      </w:pPr>
    </w:p>
    <w:tbl>
      <w:tblPr>
        <w:tblW w:w="8613" w:type="dxa"/>
        <w:tblInd w:w="108" w:type="dxa"/>
        <w:tblLayout w:type="fixed"/>
        <w:tblLook w:val="0000"/>
      </w:tblPr>
      <w:tblGrid>
        <w:gridCol w:w="3393"/>
        <w:gridCol w:w="1260"/>
        <w:gridCol w:w="1260"/>
        <w:gridCol w:w="236"/>
        <w:gridCol w:w="1232"/>
        <w:gridCol w:w="1232"/>
      </w:tblGrid>
      <w:tr w:rsidR="004B417C" w:rsidRPr="00B06C17">
        <w:trPr>
          <w:trHeight w:hRule="exact" w:val="340"/>
        </w:trPr>
        <w:tc>
          <w:tcPr>
            <w:tcW w:w="3393" w:type="dxa"/>
            <w:vAlign w:val="center"/>
          </w:tcPr>
          <w:p w:rsidR="004B417C" w:rsidRDefault="004B417C">
            <w:pPr>
              <w:spacing w:line="240" w:lineRule="auto"/>
              <w:jc w:val="both"/>
              <w:rPr>
                <w:b/>
                <w:lang w:val="el-GR"/>
              </w:rPr>
            </w:pPr>
          </w:p>
        </w:tc>
        <w:tc>
          <w:tcPr>
            <w:tcW w:w="2520" w:type="dxa"/>
            <w:gridSpan w:val="2"/>
            <w:tcBorders>
              <w:bottom w:val="single" w:sz="4" w:space="0" w:color="auto"/>
            </w:tcBorders>
            <w:vAlign w:val="center"/>
          </w:tcPr>
          <w:p w:rsidR="004B417C" w:rsidRDefault="004B417C" w:rsidP="00595688">
            <w:pPr>
              <w:spacing w:line="240" w:lineRule="auto"/>
              <w:jc w:val="center"/>
              <w:rPr>
                <w:b/>
                <w:color w:val="FF0000"/>
                <w:lang w:val="el-GR"/>
              </w:rPr>
            </w:pPr>
            <w:r>
              <w:rPr>
                <w:b/>
                <w:lang w:val="el-GR"/>
              </w:rPr>
              <w:t>2012</w:t>
            </w:r>
          </w:p>
        </w:tc>
        <w:tc>
          <w:tcPr>
            <w:tcW w:w="236" w:type="dxa"/>
            <w:vAlign w:val="center"/>
          </w:tcPr>
          <w:p w:rsidR="004B417C" w:rsidRDefault="004B417C">
            <w:pPr>
              <w:spacing w:line="240" w:lineRule="auto"/>
              <w:jc w:val="center"/>
              <w:rPr>
                <w:b/>
                <w:lang w:val="el-GR"/>
              </w:rPr>
            </w:pPr>
          </w:p>
        </w:tc>
        <w:tc>
          <w:tcPr>
            <w:tcW w:w="2464" w:type="dxa"/>
            <w:gridSpan w:val="2"/>
            <w:tcBorders>
              <w:bottom w:val="single" w:sz="4" w:space="0" w:color="auto"/>
            </w:tcBorders>
            <w:vAlign w:val="center"/>
          </w:tcPr>
          <w:p w:rsidR="004B417C" w:rsidRDefault="004B417C">
            <w:pPr>
              <w:spacing w:line="240" w:lineRule="auto"/>
              <w:jc w:val="center"/>
              <w:rPr>
                <w:b/>
                <w:lang w:val="el-GR"/>
              </w:rPr>
            </w:pPr>
            <w:r>
              <w:rPr>
                <w:b/>
                <w:lang w:val="el-GR"/>
              </w:rPr>
              <w:t>2011</w:t>
            </w:r>
          </w:p>
        </w:tc>
      </w:tr>
      <w:tr w:rsidR="004B417C" w:rsidRPr="00B06C17">
        <w:trPr>
          <w:trHeight w:val="340"/>
        </w:trPr>
        <w:tc>
          <w:tcPr>
            <w:tcW w:w="3393" w:type="dxa"/>
            <w:vAlign w:val="center"/>
          </w:tcPr>
          <w:p w:rsidR="004B417C" w:rsidRDefault="004B417C">
            <w:pPr>
              <w:spacing w:line="240" w:lineRule="auto"/>
              <w:jc w:val="both"/>
              <w:rPr>
                <w:b/>
                <w:lang w:val="el-GR"/>
              </w:rPr>
            </w:pPr>
          </w:p>
        </w:tc>
        <w:tc>
          <w:tcPr>
            <w:tcW w:w="1260" w:type="dxa"/>
            <w:tcBorders>
              <w:top w:val="single" w:sz="4" w:space="0" w:color="auto"/>
            </w:tcBorders>
            <w:vAlign w:val="center"/>
          </w:tcPr>
          <w:p w:rsidR="004B417C" w:rsidRDefault="004B417C">
            <w:pPr>
              <w:spacing w:line="240" w:lineRule="auto"/>
              <w:jc w:val="center"/>
              <w:rPr>
                <w:b/>
                <w:lang w:val="el-GR"/>
              </w:rPr>
            </w:pPr>
            <w:r>
              <w:rPr>
                <w:b/>
                <w:lang w:val="el-GR"/>
              </w:rPr>
              <w:t>%</w:t>
            </w:r>
          </w:p>
        </w:tc>
        <w:tc>
          <w:tcPr>
            <w:tcW w:w="1260" w:type="dxa"/>
            <w:tcBorders>
              <w:top w:val="single" w:sz="4" w:space="0" w:color="auto"/>
            </w:tcBorders>
            <w:vAlign w:val="center"/>
          </w:tcPr>
          <w:p w:rsidR="004B417C" w:rsidRDefault="004B417C">
            <w:pPr>
              <w:spacing w:line="240" w:lineRule="auto"/>
              <w:jc w:val="center"/>
              <w:rPr>
                <w:b/>
                <w:lang w:val="el-GR"/>
              </w:rPr>
            </w:pPr>
            <w:r>
              <w:rPr>
                <w:b/>
                <w:lang w:val="el-GR"/>
              </w:rPr>
              <w:t>Λογιστική αξία</w:t>
            </w:r>
          </w:p>
        </w:tc>
        <w:tc>
          <w:tcPr>
            <w:tcW w:w="236" w:type="dxa"/>
            <w:vAlign w:val="center"/>
          </w:tcPr>
          <w:p w:rsidR="004B417C" w:rsidRDefault="004B417C">
            <w:pPr>
              <w:spacing w:line="240" w:lineRule="auto"/>
              <w:jc w:val="center"/>
              <w:rPr>
                <w:b/>
                <w:lang w:val="el-GR"/>
              </w:rPr>
            </w:pPr>
          </w:p>
        </w:tc>
        <w:tc>
          <w:tcPr>
            <w:tcW w:w="1232" w:type="dxa"/>
            <w:tcBorders>
              <w:top w:val="single" w:sz="4" w:space="0" w:color="auto"/>
            </w:tcBorders>
            <w:vAlign w:val="center"/>
          </w:tcPr>
          <w:p w:rsidR="004B417C" w:rsidRDefault="004B417C">
            <w:pPr>
              <w:spacing w:line="240" w:lineRule="auto"/>
              <w:jc w:val="center"/>
              <w:rPr>
                <w:b/>
                <w:lang w:val="el-GR"/>
              </w:rPr>
            </w:pPr>
            <w:r>
              <w:rPr>
                <w:b/>
                <w:lang w:val="el-GR"/>
              </w:rPr>
              <w:t>%</w:t>
            </w:r>
          </w:p>
        </w:tc>
        <w:tc>
          <w:tcPr>
            <w:tcW w:w="1232" w:type="dxa"/>
            <w:tcBorders>
              <w:top w:val="single" w:sz="4" w:space="0" w:color="auto"/>
            </w:tcBorders>
            <w:vAlign w:val="center"/>
          </w:tcPr>
          <w:p w:rsidR="004B417C" w:rsidRDefault="004B417C">
            <w:pPr>
              <w:spacing w:line="240" w:lineRule="auto"/>
              <w:jc w:val="center"/>
              <w:rPr>
                <w:b/>
                <w:lang w:val="el-GR"/>
              </w:rPr>
            </w:pPr>
            <w:r>
              <w:rPr>
                <w:b/>
                <w:lang w:val="el-GR"/>
              </w:rPr>
              <w:t>Λογιστική αξία</w:t>
            </w:r>
          </w:p>
        </w:tc>
      </w:tr>
      <w:tr w:rsidR="004B417C" w:rsidRPr="00B06C17">
        <w:trPr>
          <w:trHeight w:hRule="exact" w:val="340"/>
        </w:trPr>
        <w:tc>
          <w:tcPr>
            <w:tcW w:w="3393" w:type="dxa"/>
            <w:vAlign w:val="center"/>
          </w:tcPr>
          <w:p w:rsidR="004B417C" w:rsidRDefault="004B417C">
            <w:pPr>
              <w:spacing w:line="240" w:lineRule="auto"/>
              <w:jc w:val="both"/>
              <w:rPr>
                <w:lang w:val="el-GR"/>
              </w:rPr>
            </w:pPr>
            <w:r>
              <w:rPr>
                <w:lang w:val="el-GR"/>
              </w:rPr>
              <w:t xml:space="preserve">ΑΤΕ </w:t>
            </w:r>
            <w:r>
              <w:t>R</w:t>
            </w:r>
            <w:r>
              <w:rPr>
                <w:lang w:val="el-GR"/>
              </w:rPr>
              <w:t>ΕΝΤ</w:t>
            </w:r>
          </w:p>
        </w:tc>
        <w:tc>
          <w:tcPr>
            <w:tcW w:w="1260" w:type="dxa"/>
            <w:vAlign w:val="center"/>
          </w:tcPr>
          <w:p w:rsidR="004B417C" w:rsidRDefault="004B417C">
            <w:pPr>
              <w:spacing w:line="240" w:lineRule="auto"/>
              <w:jc w:val="center"/>
              <w:rPr>
                <w:lang w:val="el-GR"/>
              </w:rPr>
            </w:pPr>
            <w:r>
              <w:rPr>
                <w:lang w:val="el-GR"/>
              </w:rPr>
              <w:t>100%</w:t>
            </w:r>
          </w:p>
        </w:tc>
        <w:tc>
          <w:tcPr>
            <w:tcW w:w="1260" w:type="dxa"/>
            <w:tcBorders>
              <w:bottom w:val="single" w:sz="4" w:space="0" w:color="auto"/>
            </w:tcBorders>
            <w:vAlign w:val="center"/>
          </w:tcPr>
          <w:p w:rsidR="004B417C" w:rsidRDefault="004B417C">
            <w:pPr>
              <w:spacing w:line="240" w:lineRule="auto"/>
              <w:jc w:val="right"/>
              <w:rPr>
                <w:lang w:val="el-GR"/>
              </w:rPr>
            </w:pPr>
            <w:r>
              <w:rPr>
                <w:lang w:val="el-GR"/>
              </w:rPr>
              <w:t>1.000</w:t>
            </w:r>
          </w:p>
        </w:tc>
        <w:tc>
          <w:tcPr>
            <w:tcW w:w="236" w:type="dxa"/>
            <w:vAlign w:val="center"/>
          </w:tcPr>
          <w:p w:rsidR="004B417C" w:rsidRDefault="004B417C">
            <w:pPr>
              <w:spacing w:line="240" w:lineRule="auto"/>
              <w:jc w:val="right"/>
              <w:rPr>
                <w:lang w:val="el-GR"/>
              </w:rPr>
            </w:pPr>
          </w:p>
        </w:tc>
        <w:tc>
          <w:tcPr>
            <w:tcW w:w="1232" w:type="dxa"/>
            <w:vAlign w:val="center"/>
          </w:tcPr>
          <w:p w:rsidR="004B417C" w:rsidRDefault="004B417C">
            <w:pPr>
              <w:spacing w:line="240" w:lineRule="auto"/>
              <w:jc w:val="center"/>
              <w:rPr>
                <w:lang w:val="el-GR"/>
              </w:rPr>
            </w:pPr>
            <w:r>
              <w:rPr>
                <w:lang w:val="el-GR"/>
              </w:rPr>
              <w:t>100%</w:t>
            </w:r>
          </w:p>
        </w:tc>
        <w:tc>
          <w:tcPr>
            <w:tcW w:w="1232" w:type="dxa"/>
            <w:tcBorders>
              <w:bottom w:val="single" w:sz="4" w:space="0" w:color="auto"/>
            </w:tcBorders>
            <w:vAlign w:val="center"/>
          </w:tcPr>
          <w:p w:rsidR="004B417C" w:rsidRDefault="004B417C">
            <w:pPr>
              <w:spacing w:line="240" w:lineRule="auto"/>
              <w:jc w:val="right"/>
              <w:rPr>
                <w:lang w:val="el-GR"/>
              </w:rPr>
            </w:pPr>
            <w:r>
              <w:rPr>
                <w:lang w:val="el-GR"/>
              </w:rPr>
              <w:t>1.000</w:t>
            </w:r>
          </w:p>
        </w:tc>
      </w:tr>
      <w:tr w:rsidR="004B417C">
        <w:trPr>
          <w:trHeight w:hRule="exact" w:val="340"/>
        </w:trPr>
        <w:tc>
          <w:tcPr>
            <w:tcW w:w="3393" w:type="dxa"/>
            <w:vAlign w:val="center"/>
          </w:tcPr>
          <w:p w:rsidR="004B417C" w:rsidRDefault="004B417C">
            <w:pPr>
              <w:spacing w:line="240" w:lineRule="auto"/>
              <w:jc w:val="both"/>
              <w:rPr>
                <w:lang w:val="el-GR"/>
              </w:rPr>
            </w:pPr>
          </w:p>
        </w:tc>
        <w:tc>
          <w:tcPr>
            <w:tcW w:w="1260" w:type="dxa"/>
            <w:vAlign w:val="center"/>
          </w:tcPr>
          <w:p w:rsidR="004B417C" w:rsidRDefault="004B417C">
            <w:pPr>
              <w:spacing w:line="240" w:lineRule="auto"/>
              <w:jc w:val="right"/>
              <w:rPr>
                <w:b/>
                <w:bCs/>
                <w:lang w:val="el-GR"/>
              </w:rPr>
            </w:pPr>
          </w:p>
        </w:tc>
        <w:tc>
          <w:tcPr>
            <w:tcW w:w="1260" w:type="dxa"/>
            <w:tcBorders>
              <w:top w:val="single" w:sz="4" w:space="0" w:color="auto"/>
              <w:bottom w:val="double" w:sz="4" w:space="0" w:color="auto"/>
            </w:tcBorders>
            <w:vAlign w:val="center"/>
          </w:tcPr>
          <w:p w:rsidR="004B417C" w:rsidRPr="00913F06" w:rsidRDefault="004B417C">
            <w:pPr>
              <w:spacing w:line="240" w:lineRule="auto"/>
              <w:jc w:val="right"/>
              <w:rPr>
                <w:b/>
                <w:bCs/>
                <w:lang w:val="el-GR"/>
              </w:rPr>
            </w:pPr>
            <w:r w:rsidRPr="00913F06">
              <w:rPr>
                <w:b/>
                <w:bCs/>
                <w:lang w:val="el-GR"/>
              </w:rPr>
              <w:t>1.000</w:t>
            </w:r>
          </w:p>
        </w:tc>
        <w:tc>
          <w:tcPr>
            <w:tcW w:w="236" w:type="dxa"/>
            <w:vAlign w:val="center"/>
          </w:tcPr>
          <w:p w:rsidR="004B417C" w:rsidRPr="00913F06" w:rsidRDefault="004B417C">
            <w:pPr>
              <w:spacing w:line="240" w:lineRule="auto"/>
              <w:jc w:val="right"/>
              <w:rPr>
                <w:b/>
                <w:bCs/>
                <w:lang w:val="el-GR"/>
              </w:rPr>
            </w:pPr>
          </w:p>
        </w:tc>
        <w:tc>
          <w:tcPr>
            <w:tcW w:w="1232" w:type="dxa"/>
            <w:vAlign w:val="center"/>
          </w:tcPr>
          <w:p w:rsidR="004B417C" w:rsidRPr="00913F06" w:rsidRDefault="004B417C">
            <w:pPr>
              <w:spacing w:line="240" w:lineRule="auto"/>
              <w:jc w:val="right"/>
              <w:rPr>
                <w:b/>
                <w:bCs/>
                <w:lang w:val="el-GR"/>
              </w:rPr>
            </w:pPr>
          </w:p>
        </w:tc>
        <w:tc>
          <w:tcPr>
            <w:tcW w:w="1232" w:type="dxa"/>
            <w:tcBorders>
              <w:top w:val="single" w:sz="4" w:space="0" w:color="auto"/>
              <w:bottom w:val="double" w:sz="4" w:space="0" w:color="auto"/>
            </w:tcBorders>
            <w:vAlign w:val="center"/>
          </w:tcPr>
          <w:p w:rsidR="004B417C" w:rsidRDefault="004B417C">
            <w:pPr>
              <w:spacing w:line="240" w:lineRule="auto"/>
              <w:jc w:val="right"/>
              <w:rPr>
                <w:b/>
                <w:bCs/>
                <w:lang w:val="el-GR"/>
              </w:rPr>
            </w:pPr>
            <w:r>
              <w:rPr>
                <w:b/>
                <w:bCs/>
                <w:lang w:val="el-GR"/>
              </w:rPr>
              <w:t>1.000</w:t>
            </w:r>
          </w:p>
        </w:tc>
      </w:tr>
    </w:tbl>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ind w:left="567"/>
        <w:jc w:val="both"/>
        <w:rPr>
          <w:szCs w:val="17"/>
          <w:lang w:val="el-GR"/>
        </w:rPr>
      </w:pPr>
    </w:p>
    <w:p w:rsidR="004B417C" w:rsidRPr="000A6049" w:rsidRDefault="004B417C" w:rsidP="008B76A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17"/>
          <w:lang w:val="el-GR"/>
        </w:rPr>
      </w:pPr>
      <w:r w:rsidRPr="000A6049">
        <w:rPr>
          <w:szCs w:val="17"/>
          <w:lang w:val="el-GR"/>
        </w:rPr>
        <w:t xml:space="preserve">Η εταιρία  την  01/11/2010  προέβη στην αγορά ποσοστού 5%  της ΑΤΕ RENT έναντι 50 χιλ. ευρώ με αποτέλεσμα να είναι ο μοναδικός μέτοχος. Η συγκεκριμένη αγορά ήταν στα πλαίσια της εξαγοράς του ενεργητικού της </w:t>
      </w:r>
      <w:r w:rsidRPr="000A6049">
        <w:rPr>
          <w:szCs w:val="17"/>
        </w:rPr>
        <w:t>ATE</w:t>
      </w:r>
      <w:r w:rsidRPr="000A6049">
        <w:rPr>
          <w:szCs w:val="17"/>
          <w:lang w:val="el-GR"/>
        </w:rPr>
        <w:t xml:space="preserve"> </w:t>
      </w:r>
      <w:r w:rsidRPr="000A6049">
        <w:rPr>
          <w:szCs w:val="17"/>
        </w:rPr>
        <w:t>RENT</w:t>
      </w:r>
      <w:r w:rsidRPr="000A6049">
        <w:rPr>
          <w:szCs w:val="17"/>
          <w:lang w:val="el-GR"/>
        </w:rPr>
        <w:t xml:space="preserve">   και των δραστηριοτήτων της   από την  εταιρεία. Η συμμετοχή  αποτιμάται  στο κόστος μείον τυχόν απομείωση.</w:t>
      </w:r>
    </w:p>
    <w:p w:rsidR="004B417C" w:rsidRPr="000A6049" w:rsidRDefault="004B417C" w:rsidP="008B76A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17"/>
          <w:lang w:val="el-GR"/>
        </w:rPr>
      </w:pPr>
    </w:p>
    <w:p w:rsidR="004B417C" w:rsidRPr="000A6049" w:rsidRDefault="004B417C" w:rsidP="00AC2D11">
      <w:pPr>
        <w:pStyle w:val="Heading1"/>
        <w:keepLines/>
        <w:numPr>
          <w:ilvl w:val="0"/>
          <w:numId w:val="32"/>
        </w:numPr>
        <w:shd w:val="clear" w:color="auto" w:fill="auto"/>
        <w:spacing w:before="130" w:line="280" w:lineRule="atLeast"/>
        <w:ind w:left="357" w:hanging="357"/>
        <w:rPr>
          <w:szCs w:val="22"/>
          <w:lang w:val="el-GR"/>
        </w:rPr>
      </w:pPr>
      <w:r w:rsidRPr="000A6049">
        <w:rPr>
          <w:szCs w:val="22"/>
          <w:lang w:val="el-GR"/>
        </w:rPr>
        <w:t>Ενσώματες ακινητοποιήσεις</w:t>
      </w:r>
    </w:p>
    <w:p w:rsidR="004B417C" w:rsidRPr="00AE7BEC" w:rsidRDefault="004B417C" w:rsidP="007F67BF">
      <w:pPr>
        <w:rPr>
          <w:highlight w:val="yellow"/>
          <w:lang w:val="el-GR"/>
        </w:rPr>
      </w:pPr>
    </w:p>
    <w:tbl>
      <w:tblPr>
        <w:tblpPr w:leftFromText="180" w:rightFromText="180" w:vertAnchor="text" w:horzAnchor="margin" w:tblpY="7"/>
        <w:tblW w:w="8100" w:type="dxa"/>
        <w:tblBorders>
          <w:bottom w:val="single" w:sz="4" w:space="0" w:color="auto"/>
        </w:tblBorders>
        <w:tblLayout w:type="fixed"/>
        <w:tblLook w:val="0000"/>
      </w:tblPr>
      <w:tblGrid>
        <w:gridCol w:w="3240"/>
        <w:gridCol w:w="1260"/>
        <w:gridCol w:w="1080"/>
        <w:gridCol w:w="1440"/>
        <w:gridCol w:w="1080"/>
      </w:tblGrid>
      <w:tr w:rsidR="006D3DF9" w:rsidRPr="009D59B9" w:rsidTr="006D3DF9">
        <w:trPr>
          <w:trHeight w:val="795"/>
        </w:trPr>
        <w:tc>
          <w:tcPr>
            <w:tcW w:w="3240" w:type="dxa"/>
            <w:noWrap/>
            <w:vAlign w:val="bottom"/>
          </w:tcPr>
          <w:p w:rsidR="006D3DF9" w:rsidRPr="009D59B9" w:rsidRDefault="006D3DF9" w:rsidP="006D3DF9">
            <w:pPr>
              <w:spacing w:line="240" w:lineRule="auto"/>
              <w:rPr>
                <w:szCs w:val="22"/>
                <w:lang w:val="el-GR"/>
              </w:rPr>
            </w:pPr>
          </w:p>
        </w:tc>
        <w:tc>
          <w:tcPr>
            <w:tcW w:w="1260" w:type="dxa"/>
            <w:vAlign w:val="bottom"/>
          </w:tcPr>
          <w:p w:rsidR="006D3DF9" w:rsidRPr="009D59B9" w:rsidRDefault="006D3DF9" w:rsidP="006D3DF9">
            <w:pPr>
              <w:spacing w:line="240" w:lineRule="auto"/>
              <w:jc w:val="center"/>
              <w:rPr>
                <w:b/>
                <w:bCs/>
                <w:szCs w:val="22"/>
                <w:lang w:val="el-GR"/>
              </w:rPr>
            </w:pPr>
            <w:r w:rsidRPr="009D59B9">
              <w:rPr>
                <w:b/>
                <w:bCs/>
                <w:szCs w:val="22"/>
                <w:lang w:val="el-GR"/>
              </w:rPr>
              <w:t xml:space="preserve">Γήπεδα -  </w:t>
            </w:r>
            <w:r w:rsidRPr="009D59B9">
              <w:rPr>
                <w:b/>
                <w:bCs/>
                <w:szCs w:val="22"/>
                <w:u w:val="single"/>
                <w:lang w:val="el-GR"/>
              </w:rPr>
              <w:t>Οικόπεδα</w:t>
            </w:r>
          </w:p>
        </w:tc>
        <w:tc>
          <w:tcPr>
            <w:tcW w:w="1080" w:type="dxa"/>
            <w:vAlign w:val="bottom"/>
          </w:tcPr>
          <w:p w:rsidR="006D3DF9" w:rsidRPr="009D59B9" w:rsidRDefault="006D3DF9" w:rsidP="006D3DF9">
            <w:pPr>
              <w:spacing w:line="240" w:lineRule="auto"/>
              <w:jc w:val="center"/>
              <w:rPr>
                <w:b/>
                <w:bCs/>
                <w:szCs w:val="22"/>
                <w:lang w:val="el-GR"/>
              </w:rPr>
            </w:pPr>
            <w:r w:rsidRPr="009D59B9">
              <w:rPr>
                <w:b/>
                <w:bCs/>
                <w:szCs w:val="22"/>
                <w:u w:val="single"/>
                <w:lang w:val="el-GR"/>
              </w:rPr>
              <w:t>Κτίρια</w:t>
            </w:r>
          </w:p>
        </w:tc>
        <w:tc>
          <w:tcPr>
            <w:tcW w:w="1440" w:type="dxa"/>
          </w:tcPr>
          <w:p w:rsidR="006D3DF9" w:rsidRPr="009D59B9" w:rsidRDefault="006D3DF9" w:rsidP="006D3DF9">
            <w:pPr>
              <w:spacing w:line="240" w:lineRule="auto"/>
              <w:jc w:val="center"/>
              <w:rPr>
                <w:b/>
                <w:bCs/>
                <w:szCs w:val="22"/>
                <w:u w:val="single"/>
                <w:lang w:val="el-GR"/>
              </w:rPr>
            </w:pPr>
            <w:r w:rsidRPr="009D59B9">
              <w:rPr>
                <w:b/>
                <w:bCs/>
                <w:szCs w:val="22"/>
                <w:lang w:val="el-GR"/>
              </w:rPr>
              <w:t xml:space="preserve">Λοιπά πάγια περιουσιακά </w:t>
            </w:r>
            <w:r w:rsidRPr="009D59B9">
              <w:rPr>
                <w:b/>
                <w:bCs/>
                <w:szCs w:val="22"/>
                <w:u w:val="single"/>
                <w:lang w:val="el-GR"/>
              </w:rPr>
              <w:t>στοιχεία</w:t>
            </w:r>
          </w:p>
        </w:tc>
        <w:tc>
          <w:tcPr>
            <w:tcW w:w="1080" w:type="dxa"/>
            <w:vAlign w:val="bottom"/>
          </w:tcPr>
          <w:p w:rsidR="006D3DF9" w:rsidRPr="009D59B9" w:rsidRDefault="006D3DF9" w:rsidP="006D3DF9">
            <w:pPr>
              <w:spacing w:line="240" w:lineRule="auto"/>
              <w:jc w:val="center"/>
              <w:rPr>
                <w:b/>
                <w:bCs/>
                <w:szCs w:val="22"/>
                <w:u w:val="single"/>
                <w:lang w:val="el-GR"/>
              </w:rPr>
            </w:pPr>
            <w:r w:rsidRPr="009D59B9">
              <w:rPr>
                <w:b/>
                <w:bCs/>
                <w:szCs w:val="22"/>
                <w:u w:val="single"/>
                <w:lang w:val="el-GR"/>
              </w:rPr>
              <w:t>Σύνολο</w:t>
            </w:r>
          </w:p>
        </w:tc>
      </w:tr>
      <w:tr w:rsidR="006D3DF9" w:rsidRPr="009D59B9" w:rsidTr="006D3DF9">
        <w:trPr>
          <w:trHeight w:val="300"/>
        </w:trPr>
        <w:tc>
          <w:tcPr>
            <w:tcW w:w="3240" w:type="dxa"/>
            <w:noWrap/>
            <w:vAlign w:val="bottom"/>
          </w:tcPr>
          <w:p w:rsidR="006D3DF9" w:rsidRPr="009D59B9" w:rsidRDefault="006D3DF9" w:rsidP="006D3DF9">
            <w:pPr>
              <w:spacing w:line="240" w:lineRule="auto"/>
              <w:rPr>
                <w:b/>
                <w:bCs/>
                <w:i/>
                <w:szCs w:val="22"/>
                <w:lang w:val="el-GR"/>
              </w:rPr>
            </w:pPr>
            <w:r w:rsidRPr="009D59B9">
              <w:rPr>
                <w:b/>
                <w:bCs/>
                <w:szCs w:val="22"/>
                <w:lang w:val="el-GR"/>
              </w:rPr>
              <w:t>Αξία κτήσης</w:t>
            </w:r>
          </w:p>
        </w:tc>
        <w:tc>
          <w:tcPr>
            <w:tcW w:w="1260" w:type="dxa"/>
            <w:noWrap/>
            <w:vAlign w:val="bottom"/>
          </w:tcPr>
          <w:p w:rsidR="006D3DF9" w:rsidRPr="009D59B9" w:rsidRDefault="006D3DF9" w:rsidP="006D3DF9">
            <w:pPr>
              <w:spacing w:line="240" w:lineRule="auto"/>
              <w:rPr>
                <w:i/>
                <w:szCs w:val="22"/>
                <w:lang w:val="el-GR"/>
              </w:rPr>
            </w:pPr>
          </w:p>
        </w:tc>
        <w:tc>
          <w:tcPr>
            <w:tcW w:w="1080" w:type="dxa"/>
            <w:noWrap/>
            <w:vAlign w:val="bottom"/>
          </w:tcPr>
          <w:p w:rsidR="006D3DF9" w:rsidRPr="009D59B9" w:rsidRDefault="006D3DF9" w:rsidP="006D3DF9">
            <w:pPr>
              <w:spacing w:line="240" w:lineRule="auto"/>
              <w:rPr>
                <w:i/>
                <w:szCs w:val="22"/>
                <w:lang w:val="el-GR"/>
              </w:rPr>
            </w:pPr>
          </w:p>
        </w:tc>
        <w:tc>
          <w:tcPr>
            <w:tcW w:w="1440" w:type="dxa"/>
          </w:tcPr>
          <w:p w:rsidR="006D3DF9" w:rsidRPr="009D59B9" w:rsidRDefault="006D3DF9" w:rsidP="006D3DF9">
            <w:pPr>
              <w:spacing w:line="240" w:lineRule="auto"/>
              <w:rPr>
                <w:i/>
                <w:szCs w:val="22"/>
                <w:lang w:val="el-GR"/>
              </w:rPr>
            </w:pPr>
          </w:p>
        </w:tc>
        <w:tc>
          <w:tcPr>
            <w:tcW w:w="1080" w:type="dxa"/>
            <w:noWrap/>
            <w:vAlign w:val="bottom"/>
          </w:tcPr>
          <w:p w:rsidR="006D3DF9" w:rsidRPr="009D59B9" w:rsidRDefault="006D3DF9" w:rsidP="006D3DF9">
            <w:pPr>
              <w:spacing w:line="240" w:lineRule="auto"/>
              <w:rPr>
                <w:i/>
                <w:szCs w:val="22"/>
                <w:lang w:val="el-GR"/>
              </w:rPr>
            </w:pPr>
          </w:p>
        </w:tc>
      </w:tr>
      <w:tr w:rsidR="006D3DF9" w:rsidRPr="009D59B9" w:rsidTr="006D3DF9">
        <w:trPr>
          <w:trHeight w:val="300"/>
        </w:trPr>
        <w:tc>
          <w:tcPr>
            <w:tcW w:w="3240" w:type="dxa"/>
            <w:noWrap/>
            <w:vAlign w:val="bottom"/>
          </w:tcPr>
          <w:p w:rsidR="006D3DF9" w:rsidRPr="009D59B9" w:rsidRDefault="006D3DF9" w:rsidP="006D3DF9">
            <w:pPr>
              <w:spacing w:line="240" w:lineRule="auto"/>
              <w:rPr>
                <w:szCs w:val="22"/>
              </w:rPr>
            </w:pPr>
            <w:r w:rsidRPr="009D59B9">
              <w:rPr>
                <w:szCs w:val="22"/>
                <w:lang w:val="el-GR"/>
              </w:rPr>
              <w:t>Υπόλοιπα 1 Ιανουαρίου 201</w:t>
            </w:r>
            <w:r w:rsidRPr="009D59B9">
              <w:rPr>
                <w:szCs w:val="22"/>
              </w:rPr>
              <w:t>1</w:t>
            </w:r>
          </w:p>
        </w:tc>
        <w:tc>
          <w:tcPr>
            <w:tcW w:w="1260" w:type="dxa"/>
            <w:noWrap/>
            <w:vAlign w:val="bottom"/>
          </w:tcPr>
          <w:p w:rsidR="006D3DF9" w:rsidRPr="009D59B9" w:rsidRDefault="006D3DF9" w:rsidP="006D3DF9">
            <w:pPr>
              <w:spacing w:line="240" w:lineRule="auto"/>
              <w:jc w:val="right"/>
              <w:rPr>
                <w:sz w:val="20"/>
                <w:lang w:val="el-GR"/>
              </w:rPr>
            </w:pPr>
            <w:r w:rsidRPr="009D59B9">
              <w:rPr>
                <w:sz w:val="20"/>
                <w:lang w:val="el-GR"/>
              </w:rPr>
              <w:t>59</w:t>
            </w:r>
          </w:p>
        </w:tc>
        <w:tc>
          <w:tcPr>
            <w:tcW w:w="1080" w:type="dxa"/>
            <w:noWrap/>
            <w:vAlign w:val="bottom"/>
          </w:tcPr>
          <w:p w:rsidR="006D3DF9" w:rsidRPr="009D59B9" w:rsidRDefault="006D3DF9" w:rsidP="006D3DF9">
            <w:pPr>
              <w:spacing w:line="240" w:lineRule="auto"/>
              <w:jc w:val="right"/>
              <w:rPr>
                <w:bCs/>
                <w:sz w:val="20"/>
                <w:lang w:val="el-GR"/>
              </w:rPr>
            </w:pPr>
            <w:r w:rsidRPr="009D59B9">
              <w:rPr>
                <w:bCs/>
                <w:sz w:val="20"/>
                <w:lang w:val="el-GR"/>
              </w:rPr>
              <w:t>717</w:t>
            </w:r>
          </w:p>
        </w:tc>
        <w:tc>
          <w:tcPr>
            <w:tcW w:w="1440" w:type="dxa"/>
            <w:vAlign w:val="bottom"/>
          </w:tcPr>
          <w:p w:rsidR="006D3DF9" w:rsidRPr="009D59B9" w:rsidRDefault="006D3DF9" w:rsidP="006D3DF9">
            <w:pPr>
              <w:spacing w:line="240" w:lineRule="auto"/>
              <w:jc w:val="right"/>
              <w:rPr>
                <w:bCs/>
                <w:sz w:val="20"/>
              </w:rPr>
            </w:pPr>
            <w:r w:rsidRPr="009D59B9">
              <w:rPr>
                <w:bCs/>
                <w:sz w:val="20"/>
              </w:rPr>
              <w:t>6.989</w:t>
            </w:r>
          </w:p>
        </w:tc>
        <w:tc>
          <w:tcPr>
            <w:tcW w:w="1080" w:type="dxa"/>
            <w:noWrap/>
            <w:vAlign w:val="bottom"/>
          </w:tcPr>
          <w:p w:rsidR="006D3DF9" w:rsidRPr="009D59B9" w:rsidRDefault="006D3DF9" w:rsidP="006D3DF9">
            <w:pPr>
              <w:spacing w:line="240" w:lineRule="auto"/>
              <w:jc w:val="right"/>
              <w:rPr>
                <w:bCs/>
                <w:sz w:val="20"/>
              </w:rPr>
            </w:pPr>
            <w:r w:rsidRPr="009D59B9">
              <w:rPr>
                <w:bCs/>
                <w:sz w:val="20"/>
              </w:rPr>
              <w:t>7.765</w:t>
            </w:r>
          </w:p>
        </w:tc>
      </w:tr>
      <w:tr w:rsidR="006D3DF9" w:rsidRPr="009D59B9" w:rsidTr="006D3DF9">
        <w:trPr>
          <w:trHeight w:val="300"/>
        </w:trPr>
        <w:tc>
          <w:tcPr>
            <w:tcW w:w="3240" w:type="dxa"/>
            <w:noWrap/>
            <w:vAlign w:val="bottom"/>
          </w:tcPr>
          <w:p w:rsidR="006D3DF9" w:rsidRPr="009D59B9" w:rsidRDefault="006D3DF9" w:rsidP="006D3DF9">
            <w:pPr>
              <w:spacing w:line="240" w:lineRule="auto"/>
              <w:rPr>
                <w:szCs w:val="22"/>
                <w:lang w:val="el-GR"/>
              </w:rPr>
            </w:pPr>
            <w:r w:rsidRPr="009D59B9">
              <w:rPr>
                <w:szCs w:val="22"/>
                <w:lang w:val="el-GR"/>
              </w:rPr>
              <w:t>Προσθήκες</w:t>
            </w:r>
            <w:r w:rsidRPr="009D59B9">
              <w:rPr>
                <w:szCs w:val="22"/>
              </w:rPr>
              <w:t xml:space="preserve"> / (</w:t>
            </w:r>
            <w:r w:rsidRPr="009D59B9">
              <w:rPr>
                <w:szCs w:val="22"/>
                <w:lang w:val="el-GR"/>
              </w:rPr>
              <w:t>Μειώσεις)</w:t>
            </w:r>
            <w:r w:rsidRPr="009D59B9">
              <w:rPr>
                <w:szCs w:val="22"/>
              </w:rPr>
              <w:t xml:space="preserve"> </w:t>
            </w:r>
          </w:p>
        </w:tc>
        <w:tc>
          <w:tcPr>
            <w:tcW w:w="1260" w:type="dxa"/>
            <w:noWrap/>
            <w:vAlign w:val="bottom"/>
          </w:tcPr>
          <w:p w:rsidR="006D3DF9" w:rsidRPr="009D59B9" w:rsidRDefault="006D3DF9" w:rsidP="006D3DF9">
            <w:pPr>
              <w:spacing w:line="240" w:lineRule="auto"/>
              <w:jc w:val="right"/>
              <w:rPr>
                <w:sz w:val="20"/>
                <w:lang w:val="el-GR"/>
              </w:rPr>
            </w:pPr>
            <w:r w:rsidRPr="009D59B9">
              <w:rPr>
                <w:sz w:val="20"/>
                <w:lang w:val="el-GR"/>
              </w:rPr>
              <w:t>-</w:t>
            </w:r>
          </w:p>
        </w:tc>
        <w:tc>
          <w:tcPr>
            <w:tcW w:w="1080" w:type="dxa"/>
            <w:noWrap/>
            <w:vAlign w:val="bottom"/>
          </w:tcPr>
          <w:p w:rsidR="006D3DF9" w:rsidRPr="009D59B9" w:rsidRDefault="006D3DF9" w:rsidP="006D3DF9">
            <w:pPr>
              <w:spacing w:line="240" w:lineRule="auto"/>
              <w:jc w:val="right"/>
              <w:rPr>
                <w:sz w:val="20"/>
                <w:lang w:val="el-GR"/>
              </w:rPr>
            </w:pPr>
            <w:r w:rsidRPr="009D59B9">
              <w:rPr>
                <w:sz w:val="20"/>
                <w:lang w:val="el-GR"/>
              </w:rPr>
              <w:t>-</w:t>
            </w:r>
          </w:p>
        </w:tc>
        <w:tc>
          <w:tcPr>
            <w:tcW w:w="1440" w:type="dxa"/>
            <w:tcBorders>
              <w:bottom w:val="nil"/>
            </w:tcBorders>
            <w:vAlign w:val="bottom"/>
          </w:tcPr>
          <w:p w:rsidR="006D3DF9" w:rsidRPr="009D59B9" w:rsidRDefault="006D3DF9" w:rsidP="006D3DF9">
            <w:pPr>
              <w:spacing w:line="240" w:lineRule="auto"/>
              <w:jc w:val="right"/>
              <w:rPr>
                <w:sz w:val="20"/>
              </w:rPr>
            </w:pPr>
            <w:r w:rsidRPr="009D59B9">
              <w:rPr>
                <w:sz w:val="20"/>
              </w:rPr>
              <w:t>(1.656)</w:t>
            </w:r>
          </w:p>
        </w:tc>
        <w:tc>
          <w:tcPr>
            <w:tcW w:w="1080" w:type="dxa"/>
            <w:noWrap/>
            <w:vAlign w:val="bottom"/>
          </w:tcPr>
          <w:p w:rsidR="006D3DF9" w:rsidRPr="009D59B9" w:rsidRDefault="006D3DF9" w:rsidP="006D3DF9">
            <w:pPr>
              <w:spacing w:line="240" w:lineRule="auto"/>
              <w:jc w:val="right"/>
              <w:rPr>
                <w:sz w:val="20"/>
              </w:rPr>
            </w:pPr>
            <w:r w:rsidRPr="009D59B9">
              <w:rPr>
                <w:sz w:val="20"/>
              </w:rPr>
              <w:t>(1.656)</w:t>
            </w:r>
          </w:p>
        </w:tc>
      </w:tr>
      <w:tr w:rsidR="006D3DF9" w:rsidRPr="009D59B9" w:rsidTr="006D3DF9">
        <w:trPr>
          <w:trHeight w:val="300"/>
        </w:trPr>
        <w:tc>
          <w:tcPr>
            <w:tcW w:w="3240" w:type="dxa"/>
            <w:noWrap/>
            <w:vAlign w:val="bottom"/>
          </w:tcPr>
          <w:p w:rsidR="006D3DF9" w:rsidRPr="009D59B9" w:rsidRDefault="006D3DF9" w:rsidP="006D3DF9">
            <w:pPr>
              <w:spacing w:line="240" w:lineRule="auto"/>
              <w:rPr>
                <w:bCs/>
                <w:szCs w:val="22"/>
              </w:rPr>
            </w:pPr>
            <w:r w:rsidRPr="009D59B9">
              <w:rPr>
                <w:bCs/>
                <w:szCs w:val="22"/>
                <w:lang w:val="el-GR"/>
              </w:rPr>
              <w:t>Υπόλοιπα 31 Δεκεμβρίου 201</w:t>
            </w:r>
            <w:r w:rsidRPr="009D59B9">
              <w:rPr>
                <w:bCs/>
                <w:szCs w:val="22"/>
              </w:rPr>
              <w:t>1</w:t>
            </w:r>
          </w:p>
        </w:tc>
        <w:tc>
          <w:tcPr>
            <w:tcW w:w="1260" w:type="dxa"/>
            <w:tcBorders>
              <w:top w:val="single" w:sz="4" w:space="0" w:color="auto"/>
            </w:tcBorders>
            <w:noWrap/>
            <w:vAlign w:val="bottom"/>
          </w:tcPr>
          <w:p w:rsidR="006D3DF9" w:rsidRPr="009D59B9" w:rsidRDefault="006D3DF9" w:rsidP="006D3DF9">
            <w:pPr>
              <w:spacing w:line="240" w:lineRule="auto"/>
              <w:jc w:val="right"/>
              <w:rPr>
                <w:bCs/>
                <w:sz w:val="20"/>
                <w:lang w:val="el-GR"/>
              </w:rPr>
            </w:pPr>
            <w:r w:rsidRPr="009D59B9">
              <w:rPr>
                <w:bCs/>
                <w:sz w:val="20"/>
                <w:lang w:val="el-GR"/>
              </w:rPr>
              <w:t>59</w:t>
            </w:r>
          </w:p>
        </w:tc>
        <w:tc>
          <w:tcPr>
            <w:tcW w:w="1080" w:type="dxa"/>
            <w:tcBorders>
              <w:top w:val="single" w:sz="4" w:space="0" w:color="auto"/>
            </w:tcBorders>
            <w:noWrap/>
            <w:vAlign w:val="bottom"/>
          </w:tcPr>
          <w:p w:rsidR="006D3DF9" w:rsidRPr="009D59B9" w:rsidRDefault="006D3DF9" w:rsidP="006D3DF9">
            <w:pPr>
              <w:spacing w:line="240" w:lineRule="auto"/>
              <w:jc w:val="right"/>
              <w:rPr>
                <w:sz w:val="20"/>
                <w:lang w:val="el-GR"/>
              </w:rPr>
            </w:pPr>
            <w:r w:rsidRPr="009D59B9">
              <w:rPr>
                <w:sz w:val="20"/>
                <w:lang w:val="el-GR"/>
              </w:rPr>
              <w:t>717</w:t>
            </w:r>
          </w:p>
        </w:tc>
        <w:tc>
          <w:tcPr>
            <w:tcW w:w="1440" w:type="dxa"/>
            <w:tcBorders>
              <w:top w:val="single" w:sz="4" w:space="0" w:color="auto"/>
            </w:tcBorders>
            <w:vAlign w:val="bottom"/>
          </w:tcPr>
          <w:p w:rsidR="006D3DF9" w:rsidRPr="009D59B9" w:rsidRDefault="006D3DF9" w:rsidP="006D3DF9">
            <w:pPr>
              <w:spacing w:line="240" w:lineRule="auto"/>
              <w:jc w:val="right"/>
              <w:rPr>
                <w:sz w:val="20"/>
              </w:rPr>
            </w:pPr>
            <w:r w:rsidRPr="009D59B9">
              <w:rPr>
                <w:sz w:val="20"/>
              </w:rPr>
              <w:t>5.333</w:t>
            </w:r>
          </w:p>
        </w:tc>
        <w:tc>
          <w:tcPr>
            <w:tcW w:w="1080" w:type="dxa"/>
            <w:tcBorders>
              <w:top w:val="single" w:sz="4" w:space="0" w:color="auto"/>
            </w:tcBorders>
            <w:noWrap/>
            <w:vAlign w:val="bottom"/>
          </w:tcPr>
          <w:p w:rsidR="006D3DF9" w:rsidRPr="009D59B9" w:rsidRDefault="006D3DF9" w:rsidP="006D3DF9">
            <w:pPr>
              <w:spacing w:line="240" w:lineRule="auto"/>
              <w:jc w:val="right"/>
              <w:rPr>
                <w:sz w:val="20"/>
              </w:rPr>
            </w:pPr>
            <w:r w:rsidRPr="009D59B9">
              <w:rPr>
                <w:sz w:val="20"/>
              </w:rPr>
              <w:t>6.109</w:t>
            </w:r>
          </w:p>
        </w:tc>
      </w:tr>
      <w:tr w:rsidR="006D3DF9" w:rsidRPr="009D59B9" w:rsidTr="006D3DF9">
        <w:trPr>
          <w:trHeight w:val="300"/>
        </w:trPr>
        <w:tc>
          <w:tcPr>
            <w:tcW w:w="3240" w:type="dxa"/>
            <w:noWrap/>
            <w:vAlign w:val="bottom"/>
          </w:tcPr>
          <w:p w:rsidR="006D3DF9" w:rsidRPr="009D59B9" w:rsidRDefault="006D3DF9" w:rsidP="006D3DF9">
            <w:pPr>
              <w:pStyle w:val="Heading3"/>
              <w:spacing w:line="240" w:lineRule="auto"/>
              <w:rPr>
                <w:b w:val="0"/>
                <w:bCs/>
                <w:i/>
                <w:szCs w:val="22"/>
              </w:rPr>
            </w:pPr>
          </w:p>
        </w:tc>
        <w:tc>
          <w:tcPr>
            <w:tcW w:w="1260" w:type="dxa"/>
            <w:noWrap/>
            <w:vAlign w:val="bottom"/>
          </w:tcPr>
          <w:p w:rsidR="006D3DF9" w:rsidRPr="009D59B9" w:rsidRDefault="006D3DF9" w:rsidP="006D3DF9">
            <w:pPr>
              <w:spacing w:line="240" w:lineRule="auto"/>
              <w:jc w:val="right"/>
              <w:rPr>
                <w:i/>
                <w:sz w:val="20"/>
                <w:lang w:val="el-GR"/>
              </w:rPr>
            </w:pPr>
          </w:p>
        </w:tc>
        <w:tc>
          <w:tcPr>
            <w:tcW w:w="1080" w:type="dxa"/>
            <w:noWrap/>
            <w:vAlign w:val="bottom"/>
          </w:tcPr>
          <w:p w:rsidR="006D3DF9" w:rsidRPr="009D59B9" w:rsidRDefault="006D3DF9" w:rsidP="006D3DF9">
            <w:pPr>
              <w:spacing w:line="240" w:lineRule="auto"/>
              <w:jc w:val="right"/>
              <w:rPr>
                <w:i/>
                <w:sz w:val="20"/>
                <w:lang w:val="el-GR"/>
              </w:rPr>
            </w:pPr>
          </w:p>
        </w:tc>
        <w:tc>
          <w:tcPr>
            <w:tcW w:w="1440" w:type="dxa"/>
            <w:vAlign w:val="bottom"/>
          </w:tcPr>
          <w:p w:rsidR="006D3DF9" w:rsidRPr="009D59B9" w:rsidRDefault="006D3DF9" w:rsidP="006D3DF9">
            <w:pPr>
              <w:spacing w:line="240" w:lineRule="auto"/>
              <w:jc w:val="right"/>
              <w:rPr>
                <w:i/>
                <w:sz w:val="20"/>
                <w:lang w:val="el-GR"/>
              </w:rPr>
            </w:pPr>
          </w:p>
        </w:tc>
        <w:tc>
          <w:tcPr>
            <w:tcW w:w="1080" w:type="dxa"/>
            <w:noWrap/>
            <w:vAlign w:val="bottom"/>
          </w:tcPr>
          <w:p w:rsidR="006D3DF9" w:rsidRPr="009D59B9" w:rsidRDefault="006D3DF9" w:rsidP="006D3DF9">
            <w:pPr>
              <w:spacing w:line="240" w:lineRule="auto"/>
              <w:jc w:val="right"/>
              <w:rPr>
                <w:i/>
                <w:sz w:val="20"/>
                <w:lang w:val="el-GR"/>
              </w:rPr>
            </w:pPr>
          </w:p>
        </w:tc>
      </w:tr>
      <w:tr w:rsidR="006D3DF9" w:rsidRPr="009D59B9" w:rsidTr="006D3DF9">
        <w:trPr>
          <w:trHeight w:val="300"/>
        </w:trPr>
        <w:tc>
          <w:tcPr>
            <w:tcW w:w="3240" w:type="dxa"/>
            <w:noWrap/>
            <w:vAlign w:val="bottom"/>
          </w:tcPr>
          <w:p w:rsidR="006D3DF9" w:rsidRPr="009D59B9" w:rsidRDefault="006D3DF9" w:rsidP="006D3DF9">
            <w:pPr>
              <w:spacing w:line="240" w:lineRule="auto"/>
              <w:rPr>
                <w:szCs w:val="22"/>
              </w:rPr>
            </w:pPr>
            <w:r w:rsidRPr="009D59B9">
              <w:rPr>
                <w:szCs w:val="22"/>
                <w:lang w:val="el-GR"/>
              </w:rPr>
              <w:t>Υπόλοιπα 1 Ιανουαρίου 201</w:t>
            </w:r>
            <w:r w:rsidRPr="009D59B9">
              <w:rPr>
                <w:szCs w:val="22"/>
              </w:rPr>
              <w:t>2</w:t>
            </w:r>
          </w:p>
        </w:tc>
        <w:tc>
          <w:tcPr>
            <w:tcW w:w="1260" w:type="dxa"/>
            <w:noWrap/>
            <w:vAlign w:val="bottom"/>
          </w:tcPr>
          <w:p w:rsidR="006D3DF9" w:rsidRPr="009D59B9" w:rsidRDefault="006D3DF9" w:rsidP="006D3DF9">
            <w:pPr>
              <w:spacing w:line="240" w:lineRule="auto"/>
              <w:jc w:val="right"/>
              <w:rPr>
                <w:bCs/>
                <w:sz w:val="20"/>
                <w:lang w:val="el-GR"/>
              </w:rPr>
            </w:pPr>
            <w:r w:rsidRPr="009D59B9">
              <w:rPr>
                <w:bCs/>
                <w:sz w:val="20"/>
                <w:lang w:val="el-GR"/>
              </w:rPr>
              <w:t>59</w:t>
            </w:r>
          </w:p>
        </w:tc>
        <w:tc>
          <w:tcPr>
            <w:tcW w:w="1080" w:type="dxa"/>
            <w:noWrap/>
            <w:vAlign w:val="bottom"/>
          </w:tcPr>
          <w:p w:rsidR="006D3DF9" w:rsidRPr="009D59B9" w:rsidRDefault="006D3DF9" w:rsidP="006D3DF9">
            <w:pPr>
              <w:spacing w:line="240" w:lineRule="auto"/>
              <w:jc w:val="right"/>
              <w:rPr>
                <w:sz w:val="20"/>
                <w:lang w:val="el-GR"/>
              </w:rPr>
            </w:pPr>
            <w:r w:rsidRPr="009D59B9">
              <w:rPr>
                <w:sz w:val="20"/>
                <w:lang w:val="el-GR"/>
              </w:rPr>
              <w:t>717</w:t>
            </w:r>
          </w:p>
        </w:tc>
        <w:tc>
          <w:tcPr>
            <w:tcW w:w="1440" w:type="dxa"/>
            <w:vAlign w:val="bottom"/>
          </w:tcPr>
          <w:p w:rsidR="006D3DF9" w:rsidRPr="009D59B9" w:rsidRDefault="006D3DF9" w:rsidP="006D3DF9">
            <w:pPr>
              <w:spacing w:line="240" w:lineRule="auto"/>
              <w:jc w:val="right"/>
              <w:rPr>
                <w:sz w:val="20"/>
              </w:rPr>
            </w:pPr>
            <w:r w:rsidRPr="009D59B9">
              <w:rPr>
                <w:sz w:val="20"/>
              </w:rPr>
              <w:t>5.333</w:t>
            </w:r>
          </w:p>
        </w:tc>
        <w:tc>
          <w:tcPr>
            <w:tcW w:w="1080" w:type="dxa"/>
            <w:noWrap/>
            <w:vAlign w:val="bottom"/>
          </w:tcPr>
          <w:p w:rsidR="006D3DF9" w:rsidRPr="009D59B9" w:rsidRDefault="006D3DF9" w:rsidP="006D3DF9">
            <w:pPr>
              <w:spacing w:line="240" w:lineRule="auto"/>
              <w:jc w:val="right"/>
              <w:rPr>
                <w:sz w:val="20"/>
              </w:rPr>
            </w:pPr>
            <w:r w:rsidRPr="009D59B9">
              <w:rPr>
                <w:sz w:val="20"/>
              </w:rPr>
              <w:t>6.109</w:t>
            </w:r>
          </w:p>
        </w:tc>
      </w:tr>
      <w:tr w:rsidR="006D3DF9" w:rsidRPr="009D59B9" w:rsidTr="006D3DF9">
        <w:trPr>
          <w:trHeight w:val="300"/>
        </w:trPr>
        <w:tc>
          <w:tcPr>
            <w:tcW w:w="3240" w:type="dxa"/>
            <w:noWrap/>
            <w:vAlign w:val="bottom"/>
          </w:tcPr>
          <w:p w:rsidR="006D3DF9" w:rsidRPr="009D59B9" w:rsidRDefault="006D3DF9" w:rsidP="006D3DF9">
            <w:pPr>
              <w:spacing w:line="240" w:lineRule="auto"/>
              <w:rPr>
                <w:szCs w:val="22"/>
                <w:lang w:val="el-GR"/>
              </w:rPr>
            </w:pPr>
            <w:r w:rsidRPr="009D59B9">
              <w:rPr>
                <w:szCs w:val="22"/>
                <w:lang w:val="el-GR"/>
              </w:rPr>
              <w:t>Προσθήκες</w:t>
            </w:r>
            <w:r w:rsidRPr="009D59B9">
              <w:rPr>
                <w:szCs w:val="22"/>
              </w:rPr>
              <w:t xml:space="preserve"> / (</w:t>
            </w:r>
            <w:r w:rsidRPr="009D59B9">
              <w:rPr>
                <w:szCs w:val="22"/>
                <w:lang w:val="el-GR"/>
              </w:rPr>
              <w:t>Μειώσεις)</w:t>
            </w:r>
          </w:p>
        </w:tc>
        <w:tc>
          <w:tcPr>
            <w:tcW w:w="1260" w:type="dxa"/>
            <w:noWrap/>
            <w:vAlign w:val="bottom"/>
          </w:tcPr>
          <w:p w:rsidR="006D3DF9" w:rsidRPr="009D59B9" w:rsidRDefault="006D3DF9" w:rsidP="006D3DF9">
            <w:pPr>
              <w:spacing w:line="240" w:lineRule="auto"/>
              <w:jc w:val="right"/>
              <w:rPr>
                <w:sz w:val="20"/>
                <w:lang w:val="el-GR"/>
              </w:rPr>
            </w:pPr>
            <w:r w:rsidRPr="009D59B9">
              <w:rPr>
                <w:sz w:val="20"/>
                <w:lang w:val="el-GR"/>
              </w:rPr>
              <w:t>-</w:t>
            </w:r>
          </w:p>
        </w:tc>
        <w:tc>
          <w:tcPr>
            <w:tcW w:w="1080" w:type="dxa"/>
            <w:noWrap/>
            <w:vAlign w:val="bottom"/>
          </w:tcPr>
          <w:p w:rsidR="006D3DF9" w:rsidRPr="009D59B9" w:rsidRDefault="006D3DF9" w:rsidP="006D3DF9">
            <w:pPr>
              <w:spacing w:line="240" w:lineRule="auto"/>
              <w:jc w:val="right"/>
              <w:rPr>
                <w:sz w:val="20"/>
              </w:rPr>
            </w:pPr>
            <w:r w:rsidRPr="009D59B9">
              <w:rPr>
                <w:sz w:val="20"/>
              </w:rPr>
              <w:t>(491)</w:t>
            </w:r>
          </w:p>
        </w:tc>
        <w:tc>
          <w:tcPr>
            <w:tcW w:w="1440" w:type="dxa"/>
            <w:tcBorders>
              <w:bottom w:val="nil"/>
            </w:tcBorders>
            <w:vAlign w:val="bottom"/>
          </w:tcPr>
          <w:p w:rsidR="006D3DF9" w:rsidRPr="009D59B9" w:rsidRDefault="006D3DF9" w:rsidP="006D3DF9">
            <w:pPr>
              <w:spacing w:line="240" w:lineRule="auto"/>
              <w:jc w:val="right"/>
              <w:rPr>
                <w:sz w:val="20"/>
                <w:lang w:val="el-GR"/>
              </w:rPr>
            </w:pPr>
            <w:r w:rsidRPr="009D59B9">
              <w:rPr>
                <w:sz w:val="20"/>
                <w:lang w:val="el-GR"/>
              </w:rPr>
              <w:t>(</w:t>
            </w:r>
            <w:r w:rsidR="0023474F" w:rsidRPr="009D59B9">
              <w:rPr>
                <w:sz w:val="20"/>
                <w:lang w:val="el-GR"/>
              </w:rPr>
              <w:t>1.377</w:t>
            </w:r>
            <w:r w:rsidRPr="009D59B9">
              <w:rPr>
                <w:sz w:val="20"/>
                <w:lang w:val="el-GR"/>
              </w:rPr>
              <w:t>)</w:t>
            </w:r>
          </w:p>
        </w:tc>
        <w:tc>
          <w:tcPr>
            <w:tcW w:w="1080" w:type="dxa"/>
            <w:noWrap/>
            <w:vAlign w:val="bottom"/>
          </w:tcPr>
          <w:p w:rsidR="006D3DF9" w:rsidRPr="009D59B9" w:rsidRDefault="0068268B" w:rsidP="006D3DF9">
            <w:pPr>
              <w:spacing w:line="240" w:lineRule="auto"/>
              <w:jc w:val="right"/>
              <w:rPr>
                <w:sz w:val="20"/>
                <w:lang w:val="el-GR"/>
              </w:rPr>
            </w:pPr>
            <w:r w:rsidRPr="009D59B9">
              <w:rPr>
                <w:sz w:val="20"/>
                <w:lang w:val="el-GR"/>
              </w:rPr>
              <w:t>(1.868</w:t>
            </w:r>
            <w:r w:rsidR="006D3DF9" w:rsidRPr="009D59B9">
              <w:rPr>
                <w:sz w:val="20"/>
                <w:lang w:val="el-GR"/>
              </w:rPr>
              <w:t>)</w:t>
            </w:r>
          </w:p>
        </w:tc>
      </w:tr>
      <w:tr w:rsidR="006D3DF9" w:rsidRPr="009D59B9" w:rsidTr="006D3DF9">
        <w:trPr>
          <w:trHeight w:val="300"/>
        </w:trPr>
        <w:tc>
          <w:tcPr>
            <w:tcW w:w="3240" w:type="dxa"/>
            <w:noWrap/>
            <w:vAlign w:val="bottom"/>
          </w:tcPr>
          <w:p w:rsidR="006D3DF9" w:rsidRPr="009D59B9" w:rsidRDefault="006D3DF9" w:rsidP="006D3DF9">
            <w:pPr>
              <w:spacing w:line="240" w:lineRule="auto"/>
              <w:rPr>
                <w:b/>
                <w:bCs/>
                <w:szCs w:val="22"/>
              </w:rPr>
            </w:pPr>
            <w:r w:rsidRPr="009D59B9">
              <w:rPr>
                <w:b/>
                <w:bCs/>
                <w:szCs w:val="22"/>
                <w:lang w:val="el-GR"/>
              </w:rPr>
              <w:t>Υπόλοιπα 31 Δεκεμβρίου 201</w:t>
            </w:r>
            <w:r w:rsidRPr="009D59B9">
              <w:rPr>
                <w:b/>
                <w:bCs/>
                <w:szCs w:val="22"/>
              </w:rPr>
              <w:t>2</w:t>
            </w:r>
          </w:p>
        </w:tc>
        <w:tc>
          <w:tcPr>
            <w:tcW w:w="1260" w:type="dxa"/>
            <w:tcBorders>
              <w:top w:val="single" w:sz="4" w:space="0" w:color="auto"/>
            </w:tcBorders>
            <w:noWrap/>
            <w:vAlign w:val="bottom"/>
          </w:tcPr>
          <w:p w:rsidR="006D3DF9" w:rsidRPr="009D59B9" w:rsidRDefault="006D3DF9" w:rsidP="006D3DF9">
            <w:pPr>
              <w:spacing w:line="240" w:lineRule="auto"/>
              <w:jc w:val="right"/>
              <w:rPr>
                <w:sz w:val="20"/>
                <w:lang w:val="el-GR"/>
              </w:rPr>
            </w:pPr>
            <w:r w:rsidRPr="009D59B9">
              <w:rPr>
                <w:sz w:val="20"/>
                <w:lang w:val="el-GR"/>
              </w:rPr>
              <w:t>59</w:t>
            </w:r>
          </w:p>
        </w:tc>
        <w:tc>
          <w:tcPr>
            <w:tcW w:w="1080" w:type="dxa"/>
            <w:tcBorders>
              <w:top w:val="single" w:sz="4" w:space="0" w:color="auto"/>
            </w:tcBorders>
            <w:noWrap/>
            <w:vAlign w:val="bottom"/>
          </w:tcPr>
          <w:p w:rsidR="006D3DF9" w:rsidRPr="009D59B9" w:rsidRDefault="006D3DF9" w:rsidP="006D3DF9">
            <w:pPr>
              <w:spacing w:line="240" w:lineRule="auto"/>
              <w:jc w:val="right"/>
              <w:rPr>
                <w:sz w:val="20"/>
              </w:rPr>
            </w:pPr>
            <w:r w:rsidRPr="009D59B9">
              <w:rPr>
                <w:sz w:val="20"/>
              </w:rPr>
              <w:t>226</w:t>
            </w:r>
          </w:p>
        </w:tc>
        <w:tc>
          <w:tcPr>
            <w:tcW w:w="1440" w:type="dxa"/>
            <w:tcBorders>
              <w:top w:val="single" w:sz="4" w:space="0" w:color="auto"/>
            </w:tcBorders>
            <w:vAlign w:val="bottom"/>
          </w:tcPr>
          <w:p w:rsidR="006D3DF9" w:rsidRPr="009D59B9" w:rsidRDefault="0068268B" w:rsidP="006D3DF9">
            <w:pPr>
              <w:spacing w:line="240" w:lineRule="auto"/>
              <w:jc w:val="right"/>
              <w:rPr>
                <w:sz w:val="20"/>
                <w:lang w:val="el-GR"/>
              </w:rPr>
            </w:pPr>
            <w:r w:rsidRPr="009D59B9">
              <w:rPr>
                <w:sz w:val="20"/>
                <w:lang w:val="el-GR"/>
              </w:rPr>
              <w:t>3.956</w:t>
            </w:r>
          </w:p>
        </w:tc>
        <w:tc>
          <w:tcPr>
            <w:tcW w:w="1080" w:type="dxa"/>
            <w:tcBorders>
              <w:top w:val="single" w:sz="4" w:space="0" w:color="auto"/>
            </w:tcBorders>
            <w:noWrap/>
            <w:vAlign w:val="bottom"/>
          </w:tcPr>
          <w:p w:rsidR="006D3DF9" w:rsidRPr="009D59B9" w:rsidRDefault="006D3DF9" w:rsidP="006D3DF9">
            <w:pPr>
              <w:spacing w:line="240" w:lineRule="auto"/>
              <w:jc w:val="right"/>
              <w:rPr>
                <w:sz w:val="20"/>
                <w:lang w:val="el-GR"/>
              </w:rPr>
            </w:pPr>
            <w:r w:rsidRPr="009D59B9">
              <w:rPr>
                <w:sz w:val="20"/>
                <w:lang w:val="el-GR"/>
              </w:rPr>
              <w:t>4.</w:t>
            </w:r>
            <w:r w:rsidR="0068268B" w:rsidRPr="009D59B9">
              <w:rPr>
                <w:sz w:val="20"/>
                <w:lang w:val="el-GR"/>
              </w:rPr>
              <w:t>241</w:t>
            </w:r>
          </w:p>
        </w:tc>
      </w:tr>
      <w:tr w:rsidR="006D3DF9" w:rsidRPr="009D59B9" w:rsidTr="006D3DF9">
        <w:trPr>
          <w:trHeight w:val="300"/>
        </w:trPr>
        <w:tc>
          <w:tcPr>
            <w:tcW w:w="3240" w:type="dxa"/>
            <w:noWrap/>
            <w:vAlign w:val="bottom"/>
          </w:tcPr>
          <w:p w:rsidR="006D3DF9" w:rsidRPr="009D59B9" w:rsidRDefault="006D3DF9" w:rsidP="006D3DF9">
            <w:pPr>
              <w:spacing w:line="240" w:lineRule="auto"/>
              <w:rPr>
                <w:b/>
                <w:szCs w:val="22"/>
                <w:lang w:val="el-GR"/>
              </w:rPr>
            </w:pPr>
          </w:p>
        </w:tc>
        <w:tc>
          <w:tcPr>
            <w:tcW w:w="1260" w:type="dxa"/>
            <w:noWrap/>
            <w:vAlign w:val="bottom"/>
          </w:tcPr>
          <w:p w:rsidR="006D3DF9" w:rsidRPr="009D59B9" w:rsidRDefault="006D3DF9" w:rsidP="006D3DF9">
            <w:pPr>
              <w:spacing w:line="240" w:lineRule="auto"/>
              <w:jc w:val="right"/>
              <w:rPr>
                <w:sz w:val="20"/>
                <w:lang w:val="el-GR"/>
              </w:rPr>
            </w:pPr>
          </w:p>
        </w:tc>
        <w:tc>
          <w:tcPr>
            <w:tcW w:w="1080" w:type="dxa"/>
            <w:noWrap/>
            <w:vAlign w:val="bottom"/>
          </w:tcPr>
          <w:p w:rsidR="006D3DF9" w:rsidRPr="009D59B9" w:rsidRDefault="006D3DF9" w:rsidP="006D3DF9">
            <w:pPr>
              <w:spacing w:line="240" w:lineRule="auto"/>
              <w:jc w:val="right"/>
              <w:rPr>
                <w:sz w:val="20"/>
                <w:lang w:val="el-GR"/>
              </w:rPr>
            </w:pPr>
          </w:p>
        </w:tc>
        <w:tc>
          <w:tcPr>
            <w:tcW w:w="1440" w:type="dxa"/>
            <w:vAlign w:val="bottom"/>
          </w:tcPr>
          <w:p w:rsidR="006D3DF9" w:rsidRPr="009D59B9" w:rsidRDefault="006D3DF9" w:rsidP="006D3DF9">
            <w:pPr>
              <w:spacing w:line="240" w:lineRule="auto"/>
              <w:jc w:val="right"/>
              <w:rPr>
                <w:sz w:val="20"/>
                <w:lang w:val="el-GR"/>
              </w:rPr>
            </w:pPr>
          </w:p>
        </w:tc>
        <w:tc>
          <w:tcPr>
            <w:tcW w:w="1080" w:type="dxa"/>
            <w:noWrap/>
            <w:vAlign w:val="bottom"/>
          </w:tcPr>
          <w:p w:rsidR="006D3DF9" w:rsidRPr="009D59B9" w:rsidRDefault="006D3DF9" w:rsidP="006D3DF9">
            <w:pPr>
              <w:spacing w:line="240" w:lineRule="auto"/>
              <w:jc w:val="right"/>
              <w:rPr>
                <w:sz w:val="20"/>
                <w:lang w:val="el-GR"/>
              </w:rPr>
            </w:pPr>
          </w:p>
        </w:tc>
      </w:tr>
      <w:tr w:rsidR="006D3DF9" w:rsidRPr="009D59B9" w:rsidTr="006D3DF9">
        <w:trPr>
          <w:trHeight w:val="300"/>
        </w:trPr>
        <w:tc>
          <w:tcPr>
            <w:tcW w:w="3240" w:type="dxa"/>
            <w:noWrap/>
            <w:vAlign w:val="bottom"/>
          </w:tcPr>
          <w:p w:rsidR="006D3DF9" w:rsidRPr="009D59B9" w:rsidRDefault="006D3DF9" w:rsidP="006D3DF9">
            <w:pPr>
              <w:spacing w:line="240" w:lineRule="auto"/>
              <w:rPr>
                <w:b/>
                <w:szCs w:val="22"/>
                <w:lang w:val="el-GR"/>
              </w:rPr>
            </w:pPr>
            <w:r w:rsidRPr="009D59B9">
              <w:rPr>
                <w:b/>
                <w:szCs w:val="22"/>
                <w:lang w:val="el-GR"/>
              </w:rPr>
              <w:t>Αποσβέσεις</w:t>
            </w:r>
          </w:p>
        </w:tc>
        <w:tc>
          <w:tcPr>
            <w:tcW w:w="1260" w:type="dxa"/>
            <w:noWrap/>
            <w:vAlign w:val="bottom"/>
          </w:tcPr>
          <w:p w:rsidR="006D3DF9" w:rsidRPr="009D59B9" w:rsidRDefault="006D3DF9" w:rsidP="006D3DF9">
            <w:pPr>
              <w:spacing w:line="240" w:lineRule="auto"/>
              <w:jc w:val="right"/>
              <w:rPr>
                <w:sz w:val="20"/>
                <w:lang w:val="el-GR"/>
              </w:rPr>
            </w:pPr>
          </w:p>
        </w:tc>
        <w:tc>
          <w:tcPr>
            <w:tcW w:w="1080" w:type="dxa"/>
            <w:noWrap/>
            <w:vAlign w:val="bottom"/>
          </w:tcPr>
          <w:p w:rsidR="006D3DF9" w:rsidRPr="009D59B9" w:rsidRDefault="006D3DF9" w:rsidP="006D3DF9">
            <w:pPr>
              <w:spacing w:line="240" w:lineRule="auto"/>
              <w:jc w:val="right"/>
              <w:rPr>
                <w:sz w:val="20"/>
                <w:lang w:val="el-GR"/>
              </w:rPr>
            </w:pPr>
          </w:p>
        </w:tc>
        <w:tc>
          <w:tcPr>
            <w:tcW w:w="1440" w:type="dxa"/>
            <w:vAlign w:val="bottom"/>
          </w:tcPr>
          <w:p w:rsidR="006D3DF9" w:rsidRPr="009D59B9" w:rsidRDefault="006D3DF9" w:rsidP="006D3DF9">
            <w:pPr>
              <w:spacing w:line="240" w:lineRule="auto"/>
              <w:jc w:val="right"/>
              <w:rPr>
                <w:sz w:val="20"/>
                <w:lang w:val="el-GR"/>
              </w:rPr>
            </w:pPr>
          </w:p>
        </w:tc>
        <w:tc>
          <w:tcPr>
            <w:tcW w:w="1080" w:type="dxa"/>
            <w:noWrap/>
            <w:vAlign w:val="bottom"/>
          </w:tcPr>
          <w:p w:rsidR="006D3DF9" w:rsidRPr="009D59B9" w:rsidRDefault="006D3DF9" w:rsidP="006D3DF9">
            <w:pPr>
              <w:spacing w:line="240" w:lineRule="auto"/>
              <w:jc w:val="right"/>
              <w:rPr>
                <w:sz w:val="20"/>
                <w:lang w:val="el-GR"/>
              </w:rPr>
            </w:pPr>
          </w:p>
        </w:tc>
      </w:tr>
      <w:tr w:rsidR="006D3DF9" w:rsidRPr="009D59B9" w:rsidTr="006D3DF9">
        <w:trPr>
          <w:trHeight w:val="300"/>
        </w:trPr>
        <w:tc>
          <w:tcPr>
            <w:tcW w:w="3240" w:type="dxa"/>
            <w:noWrap/>
            <w:vAlign w:val="bottom"/>
          </w:tcPr>
          <w:p w:rsidR="006D3DF9" w:rsidRPr="009D59B9" w:rsidRDefault="006D3DF9" w:rsidP="006D3DF9">
            <w:pPr>
              <w:spacing w:line="240" w:lineRule="auto"/>
              <w:rPr>
                <w:bCs/>
                <w:szCs w:val="22"/>
              </w:rPr>
            </w:pPr>
            <w:r w:rsidRPr="009D59B9">
              <w:rPr>
                <w:bCs/>
                <w:szCs w:val="22"/>
                <w:lang w:val="el-GR"/>
              </w:rPr>
              <w:t>Υπόλοιπα 1 Ιανουαρίου 201</w:t>
            </w:r>
            <w:r w:rsidRPr="009D59B9">
              <w:rPr>
                <w:bCs/>
                <w:szCs w:val="22"/>
              </w:rPr>
              <w:t>1</w:t>
            </w:r>
          </w:p>
        </w:tc>
        <w:tc>
          <w:tcPr>
            <w:tcW w:w="1260" w:type="dxa"/>
            <w:tcBorders>
              <w:bottom w:val="nil"/>
            </w:tcBorders>
            <w:noWrap/>
            <w:vAlign w:val="bottom"/>
          </w:tcPr>
          <w:p w:rsidR="006D3DF9" w:rsidRPr="009D59B9" w:rsidRDefault="006D3DF9" w:rsidP="006D3DF9">
            <w:pPr>
              <w:spacing w:line="240" w:lineRule="auto"/>
              <w:jc w:val="right"/>
              <w:rPr>
                <w:bCs/>
                <w:sz w:val="20"/>
                <w:lang w:val="el-GR"/>
              </w:rPr>
            </w:pPr>
            <w:r w:rsidRPr="009D59B9">
              <w:rPr>
                <w:bCs/>
                <w:sz w:val="20"/>
                <w:lang w:val="el-GR"/>
              </w:rPr>
              <w:t>-</w:t>
            </w:r>
          </w:p>
        </w:tc>
        <w:tc>
          <w:tcPr>
            <w:tcW w:w="1080" w:type="dxa"/>
            <w:tcBorders>
              <w:bottom w:val="nil"/>
            </w:tcBorders>
            <w:noWrap/>
            <w:vAlign w:val="bottom"/>
          </w:tcPr>
          <w:p w:rsidR="006D3DF9" w:rsidRPr="009D59B9" w:rsidRDefault="006D3DF9" w:rsidP="006D3DF9">
            <w:pPr>
              <w:spacing w:line="240" w:lineRule="auto"/>
              <w:jc w:val="right"/>
              <w:rPr>
                <w:bCs/>
                <w:sz w:val="20"/>
                <w:lang w:val="el-GR"/>
              </w:rPr>
            </w:pPr>
            <w:r w:rsidRPr="009D59B9">
              <w:rPr>
                <w:bCs/>
                <w:sz w:val="20"/>
                <w:lang w:val="el-GR"/>
              </w:rPr>
              <w:t>(</w:t>
            </w:r>
            <w:r w:rsidRPr="009D59B9">
              <w:rPr>
                <w:bCs/>
                <w:sz w:val="20"/>
              </w:rPr>
              <w:t>174</w:t>
            </w:r>
            <w:r w:rsidRPr="009D59B9">
              <w:rPr>
                <w:bCs/>
                <w:sz w:val="20"/>
                <w:lang w:val="el-GR"/>
              </w:rPr>
              <w:t>)</w:t>
            </w:r>
          </w:p>
        </w:tc>
        <w:tc>
          <w:tcPr>
            <w:tcW w:w="1440" w:type="dxa"/>
            <w:tcBorders>
              <w:bottom w:val="nil"/>
            </w:tcBorders>
            <w:vAlign w:val="bottom"/>
          </w:tcPr>
          <w:p w:rsidR="006D3DF9" w:rsidRPr="009D59B9" w:rsidRDefault="006D3DF9" w:rsidP="006D3DF9">
            <w:pPr>
              <w:spacing w:line="240" w:lineRule="auto"/>
              <w:jc w:val="right"/>
              <w:rPr>
                <w:bCs/>
                <w:sz w:val="20"/>
                <w:lang w:val="el-GR"/>
              </w:rPr>
            </w:pPr>
            <w:r w:rsidRPr="009D59B9">
              <w:rPr>
                <w:bCs/>
                <w:sz w:val="20"/>
                <w:lang w:val="el-GR"/>
              </w:rPr>
              <w:t>(</w:t>
            </w:r>
            <w:r w:rsidRPr="009D59B9">
              <w:rPr>
                <w:bCs/>
                <w:sz w:val="20"/>
              </w:rPr>
              <w:t>997</w:t>
            </w:r>
            <w:r w:rsidRPr="009D59B9">
              <w:rPr>
                <w:bCs/>
                <w:sz w:val="20"/>
                <w:lang w:val="el-GR"/>
              </w:rPr>
              <w:t>)</w:t>
            </w:r>
          </w:p>
        </w:tc>
        <w:tc>
          <w:tcPr>
            <w:tcW w:w="1080" w:type="dxa"/>
            <w:tcBorders>
              <w:bottom w:val="nil"/>
            </w:tcBorders>
            <w:noWrap/>
            <w:vAlign w:val="bottom"/>
          </w:tcPr>
          <w:p w:rsidR="006D3DF9" w:rsidRPr="009D59B9" w:rsidRDefault="006D3DF9" w:rsidP="006D3DF9">
            <w:pPr>
              <w:spacing w:line="240" w:lineRule="auto"/>
              <w:jc w:val="right"/>
              <w:rPr>
                <w:bCs/>
                <w:sz w:val="20"/>
                <w:lang w:val="el-GR"/>
              </w:rPr>
            </w:pPr>
            <w:r w:rsidRPr="009D59B9">
              <w:rPr>
                <w:bCs/>
                <w:sz w:val="20"/>
                <w:lang w:val="el-GR"/>
              </w:rPr>
              <w:t>(</w:t>
            </w:r>
            <w:r w:rsidRPr="009D59B9">
              <w:rPr>
                <w:bCs/>
                <w:sz w:val="20"/>
              </w:rPr>
              <w:t>1.171</w:t>
            </w:r>
            <w:r w:rsidRPr="009D59B9">
              <w:rPr>
                <w:bCs/>
                <w:sz w:val="20"/>
                <w:lang w:val="el-GR"/>
              </w:rPr>
              <w:t>)</w:t>
            </w:r>
          </w:p>
        </w:tc>
      </w:tr>
      <w:tr w:rsidR="006D3DF9" w:rsidRPr="009D59B9" w:rsidTr="006D3DF9">
        <w:trPr>
          <w:trHeight w:val="300"/>
        </w:trPr>
        <w:tc>
          <w:tcPr>
            <w:tcW w:w="3240" w:type="dxa"/>
            <w:noWrap/>
            <w:vAlign w:val="bottom"/>
          </w:tcPr>
          <w:p w:rsidR="006D3DF9" w:rsidRPr="009D59B9" w:rsidRDefault="006D3DF9" w:rsidP="006D3DF9">
            <w:pPr>
              <w:spacing w:line="240" w:lineRule="auto"/>
              <w:rPr>
                <w:szCs w:val="22"/>
                <w:lang w:val="el-GR"/>
              </w:rPr>
            </w:pPr>
            <w:r w:rsidRPr="009D59B9">
              <w:rPr>
                <w:szCs w:val="22"/>
                <w:lang w:val="el-GR"/>
              </w:rPr>
              <w:t>Αποσβέσεις</w:t>
            </w:r>
          </w:p>
        </w:tc>
        <w:tc>
          <w:tcPr>
            <w:tcW w:w="1260" w:type="dxa"/>
            <w:tcBorders>
              <w:bottom w:val="single" w:sz="4" w:space="0" w:color="auto"/>
            </w:tcBorders>
            <w:noWrap/>
            <w:vAlign w:val="bottom"/>
          </w:tcPr>
          <w:p w:rsidR="006D3DF9" w:rsidRPr="009D59B9" w:rsidRDefault="006D3DF9" w:rsidP="006D3DF9">
            <w:pPr>
              <w:spacing w:line="240" w:lineRule="auto"/>
              <w:jc w:val="right"/>
              <w:rPr>
                <w:bCs/>
                <w:sz w:val="20"/>
                <w:lang w:val="el-GR"/>
              </w:rPr>
            </w:pPr>
            <w:r w:rsidRPr="009D59B9">
              <w:rPr>
                <w:bCs/>
                <w:sz w:val="20"/>
                <w:lang w:val="el-GR"/>
              </w:rPr>
              <w:t>-</w:t>
            </w:r>
          </w:p>
        </w:tc>
        <w:tc>
          <w:tcPr>
            <w:tcW w:w="1080" w:type="dxa"/>
            <w:tcBorders>
              <w:bottom w:val="single" w:sz="4" w:space="0" w:color="auto"/>
            </w:tcBorders>
            <w:noWrap/>
            <w:vAlign w:val="bottom"/>
          </w:tcPr>
          <w:p w:rsidR="006D3DF9" w:rsidRPr="009D59B9" w:rsidRDefault="006D3DF9" w:rsidP="006D3DF9">
            <w:pPr>
              <w:spacing w:line="240" w:lineRule="auto"/>
              <w:jc w:val="right"/>
              <w:rPr>
                <w:bCs/>
                <w:sz w:val="20"/>
                <w:lang w:val="el-GR"/>
              </w:rPr>
            </w:pPr>
            <w:r w:rsidRPr="009D59B9">
              <w:rPr>
                <w:bCs/>
                <w:sz w:val="20"/>
                <w:lang w:val="el-GR"/>
              </w:rPr>
              <w:t>(16)</w:t>
            </w:r>
          </w:p>
        </w:tc>
        <w:tc>
          <w:tcPr>
            <w:tcW w:w="1440" w:type="dxa"/>
            <w:tcBorders>
              <w:bottom w:val="single" w:sz="4" w:space="0" w:color="auto"/>
            </w:tcBorders>
            <w:vAlign w:val="bottom"/>
          </w:tcPr>
          <w:p w:rsidR="006D3DF9" w:rsidRPr="009D59B9" w:rsidRDefault="006D3DF9" w:rsidP="006D3DF9">
            <w:pPr>
              <w:spacing w:line="240" w:lineRule="auto"/>
              <w:jc w:val="right"/>
              <w:rPr>
                <w:bCs/>
                <w:sz w:val="20"/>
                <w:lang w:val="el-GR"/>
              </w:rPr>
            </w:pPr>
            <w:r w:rsidRPr="009D59B9">
              <w:rPr>
                <w:bCs/>
                <w:sz w:val="20"/>
                <w:lang w:val="el-GR"/>
              </w:rPr>
              <w:t>(</w:t>
            </w:r>
            <w:r w:rsidRPr="009D59B9">
              <w:rPr>
                <w:bCs/>
                <w:sz w:val="20"/>
              </w:rPr>
              <w:t>1.573</w:t>
            </w:r>
            <w:r w:rsidRPr="009D59B9">
              <w:rPr>
                <w:bCs/>
                <w:sz w:val="20"/>
                <w:lang w:val="el-GR"/>
              </w:rPr>
              <w:t>)</w:t>
            </w:r>
          </w:p>
        </w:tc>
        <w:tc>
          <w:tcPr>
            <w:tcW w:w="1080" w:type="dxa"/>
            <w:tcBorders>
              <w:bottom w:val="single" w:sz="4" w:space="0" w:color="auto"/>
            </w:tcBorders>
            <w:noWrap/>
            <w:vAlign w:val="bottom"/>
          </w:tcPr>
          <w:p w:rsidR="006D3DF9" w:rsidRPr="009D59B9" w:rsidRDefault="006D3DF9" w:rsidP="006D3DF9">
            <w:pPr>
              <w:spacing w:line="240" w:lineRule="auto"/>
              <w:jc w:val="right"/>
              <w:rPr>
                <w:bCs/>
                <w:sz w:val="20"/>
              </w:rPr>
            </w:pPr>
            <w:r w:rsidRPr="009D59B9">
              <w:rPr>
                <w:bCs/>
                <w:sz w:val="20"/>
                <w:lang w:val="el-GR"/>
              </w:rPr>
              <w:t>(</w:t>
            </w:r>
            <w:r w:rsidRPr="009D59B9">
              <w:rPr>
                <w:bCs/>
                <w:sz w:val="20"/>
              </w:rPr>
              <w:t>1.589)</w:t>
            </w:r>
          </w:p>
        </w:tc>
      </w:tr>
      <w:tr w:rsidR="006D3DF9" w:rsidRPr="009D59B9" w:rsidTr="006D3DF9">
        <w:trPr>
          <w:trHeight w:val="300"/>
        </w:trPr>
        <w:tc>
          <w:tcPr>
            <w:tcW w:w="3240" w:type="dxa"/>
            <w:tcBorders>
              <w:bottom w:val="nil"/>
            </w:tcBorders>
            <w:noWrap/>
            <w:vAlign w:val="bottom"/>
          </w:tcPr>
          <w:p w:rsidR="006D3DF9" w:rsidRPr="009D59B9" w:rsidRDefault="006D3DF9" w:rsidP="006D3DF9">
            <w:pPr>
              <w:spacing w:line="240" w:lineRule="auto"/>
              <w:rPr>
                <w:b/>
                <w:szCs w:val="22"/>
              </w:rPr>
            </w:pPr>
            <w:r w:rsidRPr="009D59B9">
              <w:rPr>
                <w:b/>
                <w:szCs w:val="22"/>
                <w:lang w:val="el-GR"/>
              </w:rPr>
              <w:t>Υπόλοιπα 31 Δεκεμβρίου 201</w:t>
            </w:r>
            <w:r w:rsidRPr="009D59B9">
              <w:rPr>
                <w:b/>
                <w:szCs w:val="22"/>
              </w:rPr>
              <w:t>1</w:t>
            </w:r>
          </w:p>
        </w:tc>
        <w:tc>
          <w:tcPr>
            <w:tcW w:w="1260" w:type="dxa"/>
            <w:tcBorders>
              <w:top w:val="single" w:sz="4" w:space="0" w:color="auto"/>
              <w:bottom w:val="nil"/>
            </w:tcBorders>
            <w:noWrap/>
            <w:vAlign w:val="bottom"/>
          </w:tcPr>
          <w:p w:rsidR="006D3DF9" w:rsidRPr="009D59B9" w:rsidRDefault="006D3DF9" w:rsidP="006D3DF9">
            <w:pPr>
              <w:spacing w:line="240" w:lineRule="auto"/>
              <w:jc w:val="right"/>
              <w:rPr>
                <w:bCs/>
                <w:sz w:val="20"/>
                <w:lang w:val="el-GR"/>
              </w:rPr>
            </w:pPr>
            <w:r w:rsidRPr="009D59B9">
              <w:rPr>
                <w:bCs/>
                <w:sz w:val="20"/>
                <w:lang w:val="el-GR"/>
              </w:rPr>
              <w:t>-</w:t>
            </w:r>
          </w:p>
        </w:tc>
        <w:tc>
          <w:tcPr>
            <w:tcW w:w="1080" w:type="dxa"/>
            <w:tcBorders>
              <w:top w:val="single" w:sz="4" w:space="0" w:color="auto"/>
              <w:bottom w:val="nil"/>
            </w:tcBorders>
            <w:noWrap/>
            <w:vAlign w:val="bottom"/>
          </w:tcPr>
          <w:p w:rsidR="006D3DF9" w:rsidRPr="009D59B9" w:rsidRDefault="006D3DF9" w:rsidP="006D3DF9">
            <w:pPr>
              <w:spacing w:line="240" w:lineRule="auto"/>
              <w:jc w:val="right"/>
              <w:rPr>
                <w:bCs/>
                <w:sz w:val="20"/>
                <w:lang w:val="el-GR"/>
              </w:rPr>
            </w:pPr>
            <w:r w:rsidRPr="009D59B9">
              <w:rPr>
                <w:bCs/>
                <w:sz w:val="20"/>
                <w:lang w:val="el-GR"/>
              </w:rPr>
              <w:t>(</w:t>
            </w:r>
            <w:r w:rsidRPr="009D59B9">
              <w:rPr>
                <w:bCs/>
                <w:sz w:val="20"/>
              </w:rPr>
              <w:t>190</w:t>
            </w:r>
            <w:r w:rsidRPr="009D59B9">
              <w:rPr>
                <w:bCs/>
                <w:sz w:val="20"/>
                <w:lang w:val="el-GR"/>
              </w:rPr>
              <w:t>)</w:t>
            </w:r>
          </w:p>
        </w:tc>
        <w:tc>
          <w:tcPr>
            <w:tcW w:w="1440" w:type="dxa"/>
            <w:tcBorders>
              <w:top w:val="single" w:sz="4" w:space="0" w:color="auto"/>
              <w:bottom w:val="nil"/>
            </w:tcBorders>
            <w:vAlign w:val="bottom"/>
          </w:tcPr>
          <w:p w:rsidR="006D3DF9" w:rsidRPr="009D59B9" w:rsidRDefault="006D3DF9" w:rsidP="006D3DF9">
            <w:pPr>
              <w:spacing w:line="240" w:lineRule="auto"/>
              <w:jc w:val="right"/>
              <w:rPr>
                <w:bCs/>
                <w:sz w:val="20"/>
                <w:lang w:val="el-GR"/>
              </w:rPr>
            </w:pPr>
            <w:r w:rsidRPr="009D59B9">
              <w:rPr>
                <w:bCs/>
                <w:sz w:val="20"/>
              </w:rPr>
              <w:t>(2.570</w:t>
            </w:r>
            <w:r w:rsidRPr="009D59B9">
              <w:rPr>
                <w:bCs/>
                <w:sz w:val="20"/>
                <w:lang w:val="el-GR"/>
              </w:rPr>
              <w:t>)</w:t>
            </w:r>
          </w:p>
        </w:tc>
        <w:tc>
          <w:tcPr>
            <w:tcW w:w="1080" w:type="dxa"/>
            <w:tcBorders>
              <w:top w:val="single" w:sz="4" w:space="0" w:color="auto"/>
              <w:bottom w:val="nil"/>
            </w:tcBorders>
            <w:noWrap/>
            <w:vAlign w:val="bottom"/>
          </w:tcPr>
          <w:p w:rsidR="006D3DF9" w:rsidRPr="009D59B9" w:rsidRDefault="006D3DF9" w:rsidP="006D3DF9">
            <w:pPr>
              <w:spacing w:line="240" w:lineRule="auto"/>
              <w:jc w:val="right"/>
              <w:rPr>
                <w:bCs/>
                <w:sz w:val="20"/>
                <w:lang w:val="el-GR"/>
              </w:rPr>
            </w:pPr>
            <w:r w:rsidRPr="009D59B9">
              <w:rPr>
                <w:bCs/>
                <w:sz w:val="20"/>
                <w:lang w:val="el-GR"/>
              </w:rPr>
              <w:t>(</w:t>
            </w:r>
            <w:r w:rsidRPr="009D59B9">
              <w:rPr>
                <w:bCs/>
                <w:sz w:val="20"/>
              </w:rPr>
              <w:t>2.760</w:t>
            </w:r>
            <w:r w:rsidRPr="009D59B9">
              <w:rPr>
                <w:bCs/>
                <w:sz w:val="20"/>
                <w:lang w:val="el-GR"/>
              </w:rPr>
              <w:t>)</w:t>
            </w:r>
          </w:p>
        </w:tc>
      </w:tr>
      <w:tr w:rsidR="006D3DF9" w:rsidRPr="009D59B9" w:rsidTr="006D3DF9">
        <w:trPr>
          <w:trHeight w:val="300"/>
        </w:trPr>
        <w:tc>
          <w:tcPr>
            <w:tcW w:w="3240" w:type="dxa"/>
            <w:tcBorders>
              <w:bottom w:val="nil"/>
            </w:tcBorders>
            <w:noWrap/>
            <w:vAlign w:val="bottom"/>
          </w:tcPr>
          <w:p w:rsidR="006D3DF9" w:rsidRPr="009D59B9" w:rsidRDefault="006D3DF9" w:rsidP="006D3DF9">
            <w:pPr>
              <w:spacing w:line="240" w:lineRule="auto"/>
              <w:rPr>
                <w:b/>
                <w:bCs/>
                <w:i/>
                <w:szCs w:val="22"/>
                <w:lang w:val="el-GR"/>
              </w:rPr>
            </w:pPr>
          </w:p>
          <w:p w:rsidR="006C0DB7" w:rsidRPr="009D59B9" w:rsidRDefault="006C0DB7" w:rsidP="006D3DF9">
            <w:pPr>
              <w:spacing w:line="240" w:lineRule="auto"/>
              <w:rPr>
                <w:b/>
                <w:bCs/>
                <w:i/>
                <w:szCs w:val="22"/>
                <w:lang w:val="el-GR"/>
              </w:rPr>
            </w:pPr>
          </w:p>
          <w:p w:rsidR="006C0DB7" w:rsidRPr="009D59B9" w:rsidRDefault="006C0DB7" w:rsidP="006D3DF9">
            <w:pPr>
              <w:spacing w:line="240" w:lineRule="auto"/>
              <w:rPr>
                <w:b/>
                <w:bCs/>
                <w:i/>
                <w:szCs w:val="22"/>
                <w:lang w:val="el-GR"/>
              </w:rPr>
            </w:pPr>
          </w:p>
        </w:tc>
        <w:tc>
          <w:tcPr>
            <w:tcW w:w="1260" w:type="dxa"/>
            <w:tcBorders>
              <w:bottom w:val="nil"/>
            </w:tcBorders>
            <w:noWrap/>
            <w:vAlign w:val="bottom"/>
          </w:tcPr>
          <w:p w:rsidR="006D3DF9" w:rsidRPr="009D59B9" w:rsidRDefault="006D3DF9" w:rsidP="006D3DF9">
            <w:pPr>
              <w:spacing w:line="240" w:lineRule="auto"/>
              <w:jc w:val="right"/>
              <w:rPr>
                <w:i/>
                <w:sz w:val="20"/>
                <w:lang w:val="el-GR"/>
              </w:rPr>
            </w:pPr>
          </w:p>
        </w:tc>
        <w:tc>
          <w:tcPr>
            <w:tcW w:w="1080" w:type="dxa"/>
            <w:tcBorders>
              <w:bottom w:val="nil"/>
            </w:tcBorders>
            <w:noWrap/>
            <w:vAlign w:val="bottom"/>
          </w:tcPr>
          <w:p w:rsidR="006D3DF9" w:rsidRPr="009D59B9" w:rsidRDefault="006D3DF9" w:rsidP="006D3DF9">
            <w:pPr>
              <w:spacing w:line="240" w:lineRule="auto"/>
              <w:jc w:val="right"/>
              <w:rPr>
                <w:i/>
                <w:sz w:val="20"/>
                <w:lang w:val="el-GR"/>
              </w:rPr>
            </w:pPr>
          </w:p>
        </w:tc>
        <w:tc>
          <w:tcPr>
            <w:tcW w:w="1440" w:type="dxa"/>
            <w:tcBorders>
              <w:bottom w:val="nil"/>
            </w:tcBorders>
            <w:vAlign w:val="bottom"/>
          </w:tcPr>
          <w:p w:rsidR="006D3DF9" w:rsidRPr="009D59B9" w:rsidRDefault="006D3DF9" w:rsidP="006D3DF9">
            <w:pPr>
              <w:spacing w:line="240" w:lineRule="auto"/>
              <w:jc w:val="right"/>
              <w:rPr>
                <w:i/>
                <w:sz w:val="20"/>
                <w:lang w:val="el-GR"/>
              </w:rPr>
            </w:pPr>
          </w:p>
        </w:tc>
        <w:tc>
          <w:tcPr>
            <w:tcW w:w="1080" w:type="dxa"/>
            <w:tcBorders>
              <w:bottom w:val="nil"/>
            </w:tcBorders>
            <w:noWrap/>
            <w:vAlign w:val="bottom"/>
          </w:tcPr>
          <w:p w:rsidR="006D3DF9" w:rsidRPr="009D59B9" w:rsidRDefault="006D3DF9" w:rsidP="006D3DF9">
            <w:pPr>
              <w:spacing w:line="240" w:lineRule="auto"/>
              <w:jc w:val="right"/>
              <w:rPr>
                <w:i/>
                <w:sz w:val="20"/>
                <w:lang w:val="el-GR"/>
              </w:rPr>
            </w:pPr>
          </w:p>
        </w:tc>
      </w:tr>
      <w:tr w:rsidR="006D3DF9" w:rsidRPr="009D59B9" w:rsidTr="006D3DF9">
        <w:trPr>
          <w:trHeight w:val="300"/>
        </w:trPr>
        <w:tc>
          <w:tcPr>
            <w:tcW w:w="3240" w:type="dxa"/>
            <w:tcBorders>
              <w:top w:val="nil"/>
            </w:tcBorders>
            <w:noWrap/>
            <w:vAlign w:val="bottom"/>
          </w:tcPr>
          <w:p w:rsidR="006D3DF9" w:rsidRPr="009D59B9" w:rsidRDefault="006D3DF9" w:rsidP="006D3DF9">
            <w:pPr>
              <w:spacing w:line="240" w:lineRule="auto"/>
              <w:rPr>
                <w:bCs/>
                <w:szCs w:val="22"/>
              </w:rPr>
            </w:pPr>
            <w:r w:rsidRPr="009D59B9">
              <w:rPr>
                <w:bCs/>
                <w:szCs w:val="22"/>
                <w:lang w:val="el-GR"/>
              </w:rPr>
              <w:lastRenderedPageBreak/>
              <w:t>Υπόλοιπα 1 Ιανουαρίου 201</w:t>
            </w:r>
            <w:r w:rsidRPr="009D59B9">
              <w:rPr>
                <w:bCs/>
                <w:szCs w:val="22"/>
              </w:rPr>
              <w:t>2</w:t>
            </w:r>
          </w:p>
        </w:tc>
        <w:tc>
          <w:tcPr>
            <w:tcW w:w="1260" w:type="dxa"/>
            <w:tcBorders>
              <w:top w:val="nil"/>
            </w:tcBorders>
            <w:noWrap/>
            <w:vAlign w:val="bottom"/>
          </w:tcPr>
          <w:p w:rsidR="006D3DF9" w:rsidRPr="009D59B9" w:rsidRDefault="006D3DF9" w:rsidP="006D3DF9">
            <w:pPr>
              <w:spacing w:line="240" w:lineRule="auto"/>
              <w:jc w:val="right"/>
              <w:rPr>
                <w:bCs/>
                <w:sz w:val="20"/>
                <w:lang w:val="el-GR"/>
              </w:rPr>
            </w:pPr>
            <w:r w:rsidRPr="009D59B9">
              <w:rPr>
                <w:bCs/>
                <w:sz w:val="20"/>
                <w:lang w:val="el-GR"/>
              </w:rPr>
              <w:t>-</w:t>
            </w:r>
          </w:p>
        </w:tc>
        <w:tc>
          <w:tcPr>
            <w:tcW w:w="1080" w:type="dxa"/>
            <w:tcBorders>
              <w:top w:val="nil"/>
            </w:tcBorders>
            <w:noWrap/>
            <w:vAlign w:val="bottom"/>
          </w:tcPr>
          <w:p w:rsidR="006D3DF9" w:rsidRPr="009D59B9" w:rsidRDefault="006D3DF9" w:rsidP="006D3DF9">
            <w:pPr>
              <w:spacing w:line="240" w:lineRule="auto"/>
              <w:jc w:val="right"/>
              <w:rPr>
                <w:bCs/>
                <w:sz w:val="20"/>
                <w:lang w:val="el-GR"/>
              </w:rPr>
            </w:pPr>
            <w:r w:rsidRPr="009D59B9">
              <w:rPr>
                <w:bCs/>
                <w:sz w:val="20"/>
                <w:lang w:val="el-GR"/>
              </w:rPr>
              <w:t>(</w:t>
            </w:r>
            <w:r w:rsidRPr="009D59B9">
              <w:rPr>
                <w:bCs/>
                <w:sz w:val="20"/>
              </w:rPr>
              <w:t>190</w:t>
            </w:r>
            <w:r w:rsidRPr="009D59B9">
              <w:rPr>
                <w:bCs/>
                <w:sz w:val="20"/>
                <w:lang w:val="el-GR"/>
              </w:rPr>
              <w:t>)</w:t>
            </w:r>
          </w:p>
        </w:tc>
        <w:tc>
          <w:tcPr>
            <w:tcW w:w="1440" w:type="dxa"/>
            <w:tcBorders>
              <w:top w:val="nil"/>
            </w:tcBorders>
            <w:vAlign w:val="bottom"/>
          </w:tcPr>
          <w:p w:rsidR="006D3DF9" w:rsidRPr="009D59B9" w:rsidRDefault="006D3DF9" w:rsidP="006D3DF9">
            <w:pPr>
              <w:spacing w:line="240" w:lineRule="auto"/>
              <w:jc w:val="right"/>
              <w:rPr>
                <w:bCs/>
                <w:sz w:val="20"/>
                <w:lang w:val="el-GR"/>
              </w:rPr>
            </w:pPr>
            <w:r w:rsidRPr="009D59B9">
              <w:rPr>
                <w:bCs/>
                <w:sz w:val="20"/>
                <w:lang w:val="el-GR"/>
              </w:rPr>
              <w:t>(</w:t>
            </w:r>
            <w:r w:rsidRPr="009D59B9">
              <w:rPr>
                <w:bCs/>
                <w:sz w:val="20"/>
              </w:rPr>
              <w:t>2.570</w:t>
            </w:r>
            <w:r w:rsidRPr="009D59B9">
              <w:rPr>
                <w:bCs/>
                <w:sz w:val="20"/>
                <w:lang w:val="el-GR"/>
              </w:rPr>
              <w:t>)</w:t>
            </w:r>
          </w:p>
        </w:tc>
        <w:tc>
          <w:tcPr>
            <w:tcW w:w="1080" w:type="dxa"/>
            <w:tcBorders>
              <w:top w:val="nil"/>
            </w:tcBorders>
            <w:noWrap/>
            <w:vAlign w:val="bottom"/>
          </w:tcPr>
          <w:p w:rsidR="006D3DF9" w:rsidRPr="009D59B9" w:rsidRDefault="006D3DF9" w:rsidP="006D3DF9">
            <w:pPr>
              <w:spacing w:line="240" w:lineRule="auto"/>
              <w:jc w:val="right"/>
              <w:rPr>
                <w:bCs/>
                <w:sz w:val="20"/>
                <w:lang w:val="el-GR"/>
              </w:rPr>
            </w:pPr>
            <w:r w:rsidRPr="009D59B9">
              <w:rPr>
                <w:bCs/>
                <w:sz w:val="20"/>
                <w:lang w:val="el-GR"/>
              </w:rPr>
              <w:t>(</w:t>
            </w:r>
            <w:r w:rsidRPr="009D59B9">
              <w:rPr>
                <w:bCs/>
                <w:sz w:val="20"/>
              </w:rPr>
              <w:t>2.760</w:t>
            </w:r>
            <w:r w:rsidRPr="009D59B9">
              <w:rPr>
                <w:bCs/>
                <w:sz w:val="20"/>
                <w:lang w:val="el-GR"/>
              </w:rPr>
              <w:t>)</w:t>
            </w:r>
          </w:p>
        </w:tc>
      </w:tr>
      <w:tr w:rsidR="006D3DF9" w:rsidRPr="009D59B9" w:rsidTr="006D3DF9">
        <w:trPr>
          <w:trHeight w:val="300"/>
        </w:trPr>
        <w:tc>
          <w:tcPr>
            <w:tcW w:w="3240" w:type="dxa"/>
            <w:noWrap/>
            <w:vAlign w:val="bottom"/>
          </w:tcPr>
          <w:p w:rsidR="006D3DF9" w:rsidRPr="009D59B9" w:rsidRDefault="006D3DF9" w:rsidP="006D3DF9">
            <w:pPr>
              <w:spacing w:line="240" w:lineRule="auto"/>
              <w:rPr>
                <w:szCs w:val="22"/>
                <w:lang w:val="el-GR"/>
              </w:rPr>
            </w:pPr>
            <w:r w:rsidRPr="009D59B9">
              <w:rPr>
                <w:szCs w:val="22"/>
                <w:lang w:val="el-GR"/>
              </w:rPr>
              <w:t>Αποσβέσεις</w:t>
            </w:r>
          </w:p>
        </w:tc>
        <w:tc>
          <w:tcPr>
            <w:tcW w:w="1260" w:type="dxa"/>
            <w:tcBorders>
              <w:bottom w:val="nil"/>
            </w:tcBorders>
            <w:noWrap/>
            <w:vAlign w:val="bottom"/>
          </w:tcPr>
          <w:p w:rsidR="006D3DF9" w:rsidRPr="009D59B9" w:rsidRDefault="006D3DF9" w:rsidP="006D3DF9">
            <w:pPr>
              <w:spacing w:line="240" w:lineRule="auto"/>
              <w:jc w:val="right"/>
              <w:rPr>
                <w:bCs/>
                <w:sz w:val="20"/>
                <w:lang w:val="el-GR"/>
              </w:rPr>
            </w:pPr>
            <w:r w:rsidRPr="009D59B9">
              <w:rPr>
                <w:bCs/>
                <w:sz w:val="20"/>
                <w:lang w:val="el-GR"/>
              </w:rPr>
              <w:t>-</w:t>
            </w:r>
          </w:p>
        </w:tc>
        <w:tc>
          <w:tcPr>
            <w:tcW w:w="1080" w:type="dxa"/>
            <w:tcBorders>
              <w:bottom w:val="nil"/>
            </w:tcBorders>
            <w:noWrap/>
            <w:vAlign w:val="bottom"/>
          </w:tcPr>
          <w:p w:rsidR="006D3DF9" w:rsidRPr="009D59B9" w:rsidRDefault="006D3DF9" w:rsidP="006D3DF9">
            <w:pPr>
              <w:spacing w:line="240" w:lineRule="auto"/>
              <w:jc w:val="right"/>
              <w:rPr>
                <w:bCs/>
                <w:sz w:val="20"/>
                <w:lang w:val="el-GR"/>
              </w:rPr>
            </w:pPr>
            <w:r w:rsidRPr="009D59B9">
              <w:rPr>
                <w:bCs/>
                <w:sz w:val="20"/>
                <w:lang w:val="el-GR"/>
              </w:rPr>
              <w:t>(</w:t>
            </w:r>
            <w:r w:rsidRPr="009D59B9">
              <w:rPr>
                <w:bCs/>
                <w:sz w:val="20"/>
              </w:rPr>
              <w:t>2</w:t>
            </w:r>
            <w:r w:rsidRPr="009D59B9">
              <w:rPr>
                <w:bCs/>
                <w:sz w:val="20"/>
                <w:lang w:val="el-GR"/>
              </w:rPr>
              <w:t>)</w:t>
            </w:r>
          </w:p>
        </w:tc>
        <w:tc>
          <w:tcPr>
            <w:tcW w:w="1440" w:type="dxa"/>
            <w:tcBorders>
              <w:bottom w:val="nil"/>
            </w:tcBorders>
            <w:vAlign w:val="bottom"/>
          </w:tcPr>
          <w:p w:rsidR="006D3DF9" w:rsidRPr="009D59B9" w:rsidRDefault="006D3DF9" w:rsidP="006D3DF9">
            <w:pPr>
              <w:spacing w:line="240" w:lineRule="auto"/>
              <w:jc w:val="right"/>
              <w:rPr>
                <w:bCs/>
                <w:sz w:val="20"/>
                <w:lang w:val="el-GR"/>
              </w:rPr>
            </w:pPr>
            <w:r w:rsidRPr="009D59B9">
              <w:rPr>
                <w:bCs/>
                <w:sz w:val="20"/>
                <w:lang w:val="el-GR"/>
              </w:rPr>
              <w:t>(</w:t>
            </w:r>
            <w:r w:rsidR="0068268B" w:rsidRPr="009D59B9">
              <w:rPr>
                <w:bCs/>
                <w:sz w:val="20"/>
                <w:lang w:val="el-GR"/>
              </w:rPr>
              <w:t>527</w:t>
            </w:r>
            <w:r w:rsidRPr="009D59B9">
              <w:rPr>
                <w:bCs/>
                <w:sz w:val="20"/>
                <w:lang w:val="el-GR"/>
              </w:rPr>
              <w:t>)</w:t>
            </w:r>
          </w:p>
        </w:tc>
        <w:tc>
          <w:tcPr>
            <w:tcW w:w="1080" w:type="dxa"/>
            <w:tcBorders>
              <w:bottom w:val="nil"/>
            </w:tcBorders>
            <w:noWrap/>
            <w:vAlign w:val="bottom"/>
          </w:tcPr>
          <w:p w:rsidR="006D3DF9" w:rsidRPr="009D59B9" w:rsidRDefault="006D3DF9" w:rsidP="006D3DF9">
            <w:pPr>
              <w:spacing w:line="240" w:lineRule="auto"/>
              <w:jc w:val="right"/>
              <w:rPr>
                <w:bCs/>
                <w:sz w:val="20"/>
                <w:lang w:val="el-GR"/>
              </w:rPr>
            </w:pPr>
            <w:r w:rsidRPr="009D59B9">
              <w:rPr>
                <w:bCs/>
                <w:sz w:val="20"/>
                <w:lang w:val="el-GR"/>
              </w:rPr>
              <w:t>(</w:t>
            </w:r>
            <w:r w:rsidR="00220412" w:rsidRPr="009D59B9">
              <w:rPr>
                <w:bCs/>
                <w:sz w:val="20"/>
                <w:lang w:val="el-GR"/>
              </w:rPr>
              <w:t>529</w:t>
            </w:r>
            <w:r w:rsidRPr="009D59B9">
              <w:rPr>
                <w:bCs/>
                <w:sz w:val="20"/>
                <w:lang w:val="el-GR"/>
              </w:rPr>
              <w:t>)</w:t>
            </w:r>
          </w:p>
        </w:tc>
      </w:tr>
      <w:tr w:rsidR="006D3DF9" w:rsidRPr="009D59B9" w:rsidTr="006D3DF9">
        <w:trPr>
          <w:trHeight w:val="300"/>
        </w:trPr>
        <w:tc>
          <w:tcPr>
            <w:tcW w:w="3240" w:type="dxa"/>
            <w:noWrap/>
            <w:vAlign w:val="bottom"/>
          </w:tcPr>
          <w:p w:rsidR="006D3DF9" w:rsidRPr="009D59B9" w:rsidRDefault="006D3DF9" w:rsidP="006D3DF9">
            <w:pPr>
              <w:spacing w:line="240" w:lineRule="auto"/>
              <w:rPr>
                <w:b/>
                <w:szCs w:val="22"/>
              </w:rPr>
            </w:pPr>
            <w:r w:rsidRPr="009D59B9">
              <w:rPr>
                <w:b/>
                <w:szCs w:val="22"/>
                <w:lang w:val="el-GR"/>
              </w:rPr>
              <w:t>Υπόλοιπα 31 Δεκεμβρίου 201</w:t>
            </w:r>
            <w:r w:rsidRPr="009D59B9">
              <w:rPr>
                <w:b/>
                <w:szCs w:val="22"/>
              </w:rPr>
              <w:t>2</w:t>
            </w:r>
          </w:p>
        </w:tc>
        <w:tc>
          <w:tcPr>
            <w:tcW w:w="1260" w:type="dxa"/>
            <w:tcBorders>
              <w:top w:val="single" w:sz="4" w:space="0" w:color="auto"/>
            </w:tcBorders>
            <w:noWrap/>
            <w:vAlign w:val="bottom"/>
          </w:tcPr>
          <w:p w:rsidR="006D3DF9" w:rsidRPr="009D59B9" w:rsidRDefault="006D3DF9" w:rsidP="006D3DF9">
            <w:pPr>
              <w:spacing w:line="240" w:lineRule="auto"/>
              <w:jc w:val="right"/>
              <w:rPr>
                <w:bCs/>
                <w:sz w:val="20"/>
                <w:lang w:val="el-GR"/>
              </w:rPr>
            </w:pPr>
            <w:r w:rsidRPr="009D59B9">
              <w:rPr>
                <w:bCs/>
                <w:sz w:val="20"/>
                <w:lang w:val="el-GR"/>
              </w:rPr>
              <w:t>-</w:t>
            </w:r>
          </w:p>
        </w:tc>
        <w:tc>
          <w:tcPr>
            <w:tcW w:w="1080" w:type="dxa"/>
            <w:tcBorders>
              <w:top w:val="single" w:sz="4" w:space="0" w:color="auto"/>
            </w:tcBorders>
            <w:noWrap/>
            <w:vAlign w:val="bottom"/>
          </w:tcPr>
          <w:p w:rsidR="006D3DF9" w:rsidRPr="009D59B9" w:rsidRDefault="006D3DF9" w:rsidP="006D3DF9">
            <w:pPr>
              <w:spacing w:line="240" w:lineRule="auto"/>
              <w:jc w:val="right"/>
              <w:rPr>
                <w:bCs/>
                <w:sz w:val="20"/>
                <w:lang w:val="el-GR"/>
              </w:rPr>
            </w:pPr>
            <w:r w:rsidRPr="009D59B9">
              <w:rPr>
                <w:bCs/>
                <w:sz w:val="20"/>
                <w:lang w:val="el-GR"/>
              </w:rPr>
              <w:t>(</w:t>
            </w:r>
            <w:r w:rsidRPr="009D59B9">
              <w:rPr>
                <w:bCs/>
                <w:sz w:val="20"/>
              </w:rPr>
              <w:t>192</w:t>
            </w:r>
            <w:r w:rsidRPr="009D59B9">
              <w:rPr>
                <w:bCs/>
                <w:sz w:val="20"/>
                <w:lang w:val="el-GR"/>
              </w:rPr>
              <w:t>)</w:t>
            </w:r>
          </w:p>
        </w:tc>
        <w:tc>
          <w:tcPr>
            <w:tcW w:w="1440" w:type="dxa"/>
            <w:tcBorders>
              <w:top w:val="single" w:sz="4" w:space="0" w:color="auto"/>
            </w:tcBorders>
            <w:vAlign w:val="bottom"/>
          </w:tcPr>
          <w:p w:rsidR="006D3DF9" w:rsidRPr="009D59B9" w:rsidRDefault="006D3DF9" w:rsidP="006D3DF9">
            <w:pPr>
              <w:spacing w:line="240" w:lineRule="auto"/>
              <w:jc w:val="right"/>
              <w:rPr>
                <w:bCs/>
                <w:sz w:val="20"/>
                <w:lang w:val="el-GR"/>
              </w:rPr>
            </w:pPr>
            <w:r w:rsidRPr="009D59B9">
              <w:rPr>
                <w:bCs/>
                <w:sz w:val="20"/>
                <w:lang w:val="el-GR"/>
              </w:rPr>
              <w:t>(</w:t>
            </w:r>
            <w:r w:rsidR="00220412" w:rsidRPr="009D59B9">
              <w:rPr>
                <w:bCs/>
                <w:sz w:val="20"/>
              </w:rPr>
              <w:t>3.</w:t>
            </w:r>
            <w:r w:rsidR="00220412" w:rsidRPr="009D59B9">
              <w:rPr>
                <w:bCs/>
                <w:sz w:val="20"/>
                <w:lang w:val="el-GR"/>
              </w:rPr>
              <w:t>097</w:t>
            </w:r>
            <w:r w:rsidRPr="009D59B9">
              <w:rPr>
                <w:bCs/>
                <w:sz w:val="20"/>
                <w:lang w:val="el-GR"/>
              </w:rPr>
              <w:t>)</w:t>
            </w:r>
          </w:p>
        </w:tc>
        <w:tc>
          <w:tcPr>
            <w:tcW w:w="1080" w:type="dxa"/>
            <w:tcBorders>
              <w:top w:val="single" w:sz="4" w:space="0" w:color="auto"/>
            </w:tcBorders>
            <w:noWrap/>
            <w:vAlign w:val="bottom"/>
          </w:tcPr>
          <w:p w:rsidR="006D3DF9" w:rsidRPr="009D59B9" w:rsidRDefault="006D3DF9" w:rsidP="006D3DF9">
            <w:pPr>
              <w:spacing w:line="240" w:lineRule="auto"/>
              <w:jc w:val="right"/>
              <w:rPr>
                <w:bCs/>
                <w:sz w:val="20"/>
                <w:lang w:val="el-GR"/>
              </w:rPr>
            </w:pPr>
            <w:r w:rsidRPr="009D59B9">
              <w:rPr>
                <w:bCs/>
                <w:sz w:val="20"/>
                <w:lang w:val="el-GR"/>
              </w:rPr>
              <w:t>(</w:t>
            </w:r>
            <w:r w:rsidR="00220412" w:rsidRPr="009D59B9">
              <w:rPr>
                <w:bCs/>
                <w:sz w:val="20"/>
              </w:rPr>
              <w:t>3.</w:t>
            </w:r>
            <w:r w:rsidR="00220412" w:rsidRPr="009D59B9">
              <w:rPr>
                <w:bCs/>
                <w:sz w:val="20"/>
                <w:lang w:val="el-GR"/>
              </w:rPr>
              <w:t>289</w:t>
            </w:r>
            <w:r w:rsidRPr="009D59B9">
              <w:rPr>
                <w:bCs/>
                <w:sz w:val="20"/>
                <w:lang w:val="el-GR"/>
              </w:rPr>
              <w:t>)</w:t>
            </w:r>
          </w:p>
        </w:tc>
      </w:tr>
      <w:tr w:rsidR="006D3DF9" w:rsidRPr="009D59B9" w:rsidTr="006D3DF9">
        <w:trPr>
          <w:trHeight w:val="300"/>
        </w:trPr>
        <w:tc>
          <w:tcPr>
            <w:tcW w:w="3240" w:type="dxa"/>
            <w:noWrap/>
            <w:vAlign w:val="bottom"/>
          </w:tcPr>
          <w:p w:rsidR="006D3DF9" w:rsidRPr="009D59B9" w:rsidRDefault="006D3DF9" w:rsidP="006D3DF9">
            <w:pPr>
              <w:spacing w:line="240" w:lineRule="auto"/>
              <w:rPr>
                <w:szCs w:val="22"/>
                <w:lang w:val="el-GR"/>
              </w:rPr>
            </w:pPr>
          </w:p>
        </w:tc>
        <w:tc>
          <w:tcPr>
            <w:tcW w:w="1260" w:type="dxa"/>
            <w:noWrap/>
            <w:vAlign w:val="bottom"/>
          </w:tcPr>
          <w:p w:rsidR="006D3DF9" w:rsidRPr="009D59B9" w:rsidRDefault="006D3DF9" w:rsidP="006D3DF9">
            <w:pPr>
              <w:spacing w:line="240" w:lineRule="auto"/>
              <w:jc w:val="right"/>
              <w:rPr>
                <w:sz w:val="20"/>
                <w:lang w:val="el-GR"/>
              </w:rPr>
            </w:pPr>
          </w:p>
        </w:tc>
        <w:tc>
          <w:tcPr>
            <w:tcW w:w="1080" w:type="dxa"/>
            <w:noWrap/>
            <w:vAlign w:val="bottom"/>
          </w:tcPr>
          <w:p w:rsidR="006D3DF9" w:rsidRPr="009D59B9" w:rsidRDefault="006D3DF9" w:rsidP="006D3DF9">
            <w:pPr>
              <w:spacing w:line="240" w:lineRule="auto"/>
              <w:jc w:val="right"/>
              <w:rPr>
                <w:sz w:val="20"/>
                <w:lang w:val="el-GR"/>
              </w:rPr>
            </w:pPr>
          </w:p>
        </w:tc>
        <w:tc>
          <w:tcPr>
            <w:tcW w:w="1440" w:type="dxa"/>
            <w:vAlign w:val="bottom"/>
          </w:tcPr>
          <w:p w:rsidR="006D3DF9" w:rsidRPr="009D59B9" w:rsidRDefault="006D3DF9" w:rsidP="006D3DF9">
            <w:pPr>
              <w:spacing w:line="240" w:lineRule="auto"/>
              <w:jc w:val="right"/>
              <w:rPr>
                <w:sz w:val="20"/>
                <w:lang w:val="el-GR"/>
              </w:rPr>
            </w:pPr>
          </w:p>
        </w:tc>
        <w:tc>
          <w:tcPr>
            <w:tcW w:w="1080" w:type="dxa"/>
            <w:noWrap/>
            <w:vAlign w:val="bottom"/>
          </w:tcPr>
          <w:p w:rsidR="006D3DF9" w:rsidRPr="009D59B9" w:rsidRDefault="006D3DF9" w:rsidP="006D3DF9">
            <w:pPr>
              <w:spacing w:line="240" w:lineRule="auto"/>
              <w:jc w:val="right"/>
              <w:rPr>
                <w:sz w:val="20"/>
                <w:lang w:val="el-GR"/>
              </w:rPr>
            </w:pPr>
          </w:p>
        </w:tc>
      </w:tr>
      <w:tr w:rsidR="006D3DF9" w:rsidRPr="009D59B9" w:rsidTr="006D3DF9">
        <w:trPr>
          <w:trHeight w:val="300"/>
        </w:trPr>
        <w:tc>
          <w:tcPr>
            <w:tcW w:w="3240" w:type="dxa"/>
            <w:noWrap/>
            <w:vAlign w:val="bottom"/>
          </w:tcPr>
          <w:p w:rsidR="006D3DF9" w:rsidRPr="009D59B9" w:rsidRDefault="006D3DF9" w:rsidP="006D3DF9">
            <w:pPr>
              <w:pStyle w:val="Signature"/>
              <w:rPr>
                <w:b/>
                <w:szCs w:val="22"/>
                <w:lang w:val="el-GR"/>
              </w:rPr>
            </w:pPr>
            <w:r w:rsidRPr="009D59B9">
              <w:rPr>
                <w:b/>
                <w:szCs w:val="22"/>
                <w:lang w:val="el-GR"/>
              </w:rPr>
              <w:t>Αναπόσβεστη αξία</w:t>
            </w:r>
          </w:p>
        </w:tc>
        <w:tc>
          <w:tcPr>
            <w:tcW w:w="1260" w:type="dxa"/>
            <w:tcBorders>
              <w:bottom w:val="nil"/>
            </w:tcBorders>
            <w:noWrap/>
            <w:vAlign w:val="bottom"/>
          </w:tcPr>
          <w:p w:rsidR="006D3DF9" w:rsidRPr="009D59B9" w:rsidRDefault="006D3DF9" w:rsidP="006D3DF9">
            <w:pPr>
              <w:spacing w:line="240" w:lineRule="auto"/>
              <w:jc w:val="right"/>
              <w:rPr>
                <w:i/>
                <w:sz w:val="20"/>
                <w:lang w:val="el-GR"/>
              </w:rPr>
            </w:pPr>
          </w:p>
        </w:tc>
        <w:tc>
          <w:tcPr>
            <w:tcW w:w="1080" w:type="dxa"/>
            <w:tcBorders>
              <w:bottom w:val="nil"/>
            </w:tcBorders>
            <w:noWrap/>
            <w:vAlign w:val="bottom"/>
          </w:tcPr>
          <w:p w:rsidR="006D3DF9" w:rsidRPr="009D59B9" w:rsidRDefault="006D3DF9" w:rsidP="006D3DF9">
            <w:pPr>
              <w:spacing w:line="240" w:lineRule="auto"/>
              <w:jc w:val="right"/>
              <w:rPr>
                <w:i/>
                <w:sz w:val="20"/>
                <w:lang w:val="el-GR"/>
              </w:rPr>
            </w:pPr>
          </w:p>
        </w:tc>
        <w:tc>
          <w:tcPr>
            <w:tcW w:w="1440" w:type="dxa"/>
            <w:tcBorders>
              <w:bottom w:val="nil"/>
            </w:tcBorders>
            <w:vAlign w:val="bottom"/>
          </w:tcPr>
          <w:p w:rsidR="006D3DF9" w:rsidRPr="009D59B9" w:rsidRDefault="006D3DF9" w:rsidP="006D3DF9">
            <w:pPr>
              <w:spacing w:line="240" w:lineRule="auto"/>
              <w:jc w:val="right"/>
              <w:rPr>
                <w:i/>
                <w:sz w:val="20"/>
                <w:lang w:val="el-GR"/>
              </w:rPr>
            </w:pPr>
          </w:p>
        </w:tc>
        <w:tc>
          <w:tcPr>
            <w:tcW w:w="1080" w:type="dxa"/>
            <w:tcBorders>
              <w:bottom w:val="nil"/>
            </w:tcBorders>
            <w:noWrap/>
            <w:vAlign w:val="bottom"/>
          </w:tcPr>
          <w:p w:rsidR="006D3DF9" w:rsidRPr="009D59B9" w:rsidRDefault="006D3DF9" w:rsidP="006D3DF9">
            <w:pPr>
              <w:spacing w:line="240" w:lineRule="auto"/>
              <w:jc w:val="right"/>
              <w:rPr>
                <w:i/>
                <w:sz w:val="20"/>
                <w:lang w:val="el-GR"/>
              </w:rPr>
            </w:pPr>
          </w:p>
        </w:tc>
      </w:tr>
      <w:tr w:rsidR="006D3DF9" w:rsidRPr="009D59B9" w:rsidTr="006D3DF9">
        <w:trPr>
          <w:trHeight w:val="300"/>
        </w:trPr>
        <w:tc>
          <w:tcPr>
            <w:tcW w:w="3240" w:type="dxa"/>
            <w:noWrap/>
            <w:vAlign w:val="bottom"/>
          </w:tcPr>
          <w:p w:rsidR="006D3DF9" w:rsidRPr="009D59B9" w:rsidRDefault="006D3DF9" w:rsidP="006D3DF9">
            <w:pPr>
              <w:spacing w:line="240" w:lineRule="auto"/>
              <w:rPr>
                <w:szCs w:val="22"/>
              </w:rPr>
            </w:pPr>
            <w:r w:rsidRPr="009D59B9">
              <w:rPr>
                <w:szCs w:val="22"/>
                <w:lang w:val="el-GR"/>
              </w:rPr>
              <w:t>Υπόλοιπα 1 Ιανουαρίου 201</w:t>
            </w:r>
            <w:r w:rsidRPr="009D59B9">
              <w:rPr>
                <w:szCs w:val="22"/>
              </w:rPr>
              <w:t>1</w:t>
            </w:r>
          </w:p>
        </w:tc>
        <w:tc>
          <w:tcPr>
            <w:tcW w:w="1260" w:type="dxa"/>
            <w:tcBorders>
              <w:bottom w:val="double" w:sz="4" w:space="0" w:color="auto"/>
            </w:tcBorders>
            <w:noWrap/>
            <w:vAlign w:val="bottom"/>
          </w:tcPr>
          <w:p w:rsidR="006D3DF9" w:rsidRPr="009D59B9" w:rsidRDefault="006D3DF9" w:rsidP="006D3DF9">
            <w:pPr>
              <w:spacing w:line="240" w:lineRule="auto"/>
              <w:jc w:val="right"/>
              <w:rPr>
                <w:bCs/>
                <w:sz w:val="20"/>
                <w:lang w:val="el-GR"/>
              </w:rPr>
            </w:pPr>
            <w:r w:rsidRPr="009D59B9">
              <w:rPr>
                <w:bCs/>
                <w:sz w:val="20"/>
                <w:lang w:val="el-GR"/>
              </w:rPr>
              <w:t>59</w:t>
            </w:r>
          </w:p>
        </w:tc>
        <w:tc>
          <w:tcPr>
            <w:tcW w:w="1080" w:type="dxa"/>
            <w:tcBorders>
              <w:bottom w:val="double" w:sz="4" w:space="0" w:color="auto"/>
            </w:tcBorders>
            <w:noWrap/>
            <w:vAlign w:val="bottom"/>
          </w:tcPr>
          <w:p w:rsidR="006D3DF9" w:rsidRPr="009D59B9" w:rsidRDefault="006D3DF9" w:rsidP="006D3DF9">
            <w:pPr>
              <w:spacing w:line="240" w:lineRule="auto"/>
              <w:jc w:val="right"/>
              <w:rPr>
                <w:bCs/>
                <w:sz w:val="20"/>
              </w:rPr>
            </w:pPr>
            <w:r w:rsidRPr="009D59B9">
              <w:rPr>
                <w:bCs/>
                <w:sz w:val="20"/>
              </w:rPr>
              <w:t>543</w:t>
            </w:r>
          </w:p>
        </w:tc>
        <w:tc>
          <w:tcPr>
            <w:tcW w:w="1440" w:type="dxa"/>
            <w:tcBorders>
              <w:bottom w:val="double" w:sz="4" w:space="0" w:color="auto"/>
            </w:tcBorders>
            <w:vAlign w:val="bottom"/>
          </w:tcPr>
          <w:p w:rsidR="006D3DF9" w:rsidRPr="009D59B9" w:rsidRDefault="006D3DF9" w:rsidP="006D3DF9">
            <w:pPr>
              <w:spacing w:line="240" w:lineRule="auto"/>
              <w:jc w:val="right"/>
              <w:rPr>
                <w:bCs/>
                <w:sz w:val="20"/>
              </w:rPr>
            </w:pPr>
            <w:r w:rsidRPr="009D59B9">
              <w:rPr>
                <w:bCs/>
                <w:sz w:val="20"/>
              </w:rPr>
              <w:t>5.992</w:t>
            </w:r>
          </w:p>
        </w:tc>
        <w:tc>
          <w:tcPr>
            <w:tcW w:w="1080" w:type="dxa"/>
            <w:tcBorders>
              <w:bottom w:val="double" w:sz="4" w:space="0" w:color="auto"/>
            </w:tcBorders>
            <w:noWrap/>
            <w:vAlign w:val="bottom"/>
          </w:tcPr>
          <w:p w:rsidR="006D3DF9" w:rsidRPr="009D59B9" w:rsidRDefault="006D3DF9" w:rsidP="006D3DF9">
            <w:pPr>
              <w:spacing w:line="240" w:lineRule="auto"/>
              <w:jc w:val="right"/>
              <w:rPr>
                <w:bCs/>
                <w:sz w:val="20"/>
              </w:rPr>
            </w:pPr>
            <w:r w:rsidRPr="009D59B9">
              <w:rPr>
                <w:bCs/>
                <w:sz w:val="20"/>
              </w:rPr>
              <w:t>6.594</w:t>
            </w:r>
          </w:p>
        </w:tc>
      </w:tr>
      <w:tr w:rsidR="006D3DF9" w:rsidRPr="009D59B9" w:rsidTr="006D3DF9">
        <w:trPr>
          <w:trHeight w:val="285"/>
        </w:trPr>
        <w:tc>
          <w:tcPr>
            <w:tcW w:w="3240" w:type="dxa"/>
            <w:noWrap/>
            <w:vAlign w:val="bottom"/>
          </w:tcPr>
          <w:p w:rsidR="006D3DF9" w:rsidRPr="009D59B9" w:rsidRDefault="006D3DF9" w:rsidP="006D3DF9">
            <w:pPr>
              <w:spacing w:line="240" w:lineRule="auto"/>
              <w:rPr>
                <w:bCs/>
                <w:szCs w:val="22"/>
              </w:rPr>
            </w:pPr>
            <w:r w:rsidRPr="009D59B9">
              <w:rPr>
                <w:bCs/>
                <w:szCs w:val="22"/>
                <w:lang w:val="el-GR"/>
              </w:rPr>
              <w:t>Υπόλοιπα 31 Δεκεμβρίου 201</w:t>
            </w:r>
            <w:r w:rsidRPr="009D59B9">
              <w:rPr>
                <w:bCs/>
                <w:szCs w:val="22"/>
              </w:rPr>
              <w:t>1</w:t>
            </w:r>
          </w:p>
        </w:tc>
        <w:tc>
          <w:tcPr>
            <w:tcW w:w="1260" w:type="dxa"/>
            <w:tcBorders>
              <w:top w:val="double" w:sz="4" w:space="0" w:color="auto"/>
              <w:bottom w:val="double" w:sz="4" w:space="0" w:color="auto"/>
            </w:tcBorders>
            <w:noWrap/>
            <w:vAlign w:val="bottom"/>
          </w:tcPr>
          <w:p w:rsidR="006D3DF9" w:rsidRPr="009D59B9" w:rsidRDefault="006D3DF9" w:rsidP="006D3DF9">
            <w:pPr>
              <w:spacing w:line="240" w:lineRule="auto"/>
              <w:jc w:val="right"/>
              <w:rPr>
                <w:b/>
                <w:sz w:val="20"/>
                <w:lang w:val="el-GR"/>
              </w:rPr>
            </w:pPr>
            <w:r w:rsidRPr="009D59B9">
              <w:rPr>
                <w:b/>
                <w:sz w:val="20"/>
                <w:lang w:val="el-GR"/>
              </w:rPr>
              <w:t>59</w:t>
            </w:r>
          </w:p>
        </w:tc>
        <w:tc>
          <w:tcPr>
            <w:tcW w:w="1080" w:type="dxa"/>
            <w:tcBorders>
              <w:top w:val="double" w:sz="4" w:space="0" w:color="auto"/>
              <w:bottom w:val="double" w:sz="4" w:space="0" w:color="auto"/>
            </w:tcBorders>
            <w:noWrap/>
            <w:vAlign w:val="bottom"/>
          </w:tcPr>
          <w:p w:rsidR="006D3DF9" w:rsidRPr="009D59B9" w:rsidRDefault="006D3DF9" w:rsidP="006D3DF9">
            <w:pPr>
              <w:spacing w:line="240" w:lineRule="auto"/>
              <w:jc w:val="right"/>
              <w:rPr>
                <w:b/>
                <w:sz w:val="20"/>
              </w:rPr>
            </w:pPr>
            <w:r w:rsidRPr="009D59B9">
              <w:rPr>
                <w:b/>
                <w:sz w:val="20"/>
              </w:rPr>
              <w:t>527</w:t>
            </w:r>
          </w:p>
        </w:tc>
        <w:tc>
          <w:tcPr>
            <w:tcW w:w="1440" w:type="dxa"/>
            <w:tcBorders>
              <w:top w:val="double" w:sz="4" w:space="0" w:color="auto"/>
              <w:bottom w:val="double" w:sz="4" w:space="0" w:color="auto"/>
            </w:tcBorders>
            <w:vAlign w:val="bottom"/>
          </w:tcPr>
          <w:p w:rsidR="006D3DF9" w:rsidRPr="009D59B9" w:rsidRDefault="006D3DF9" w:rsidP="006D3DF9">
            <w:pPr>
              <w:spacing w:line="240" w:lineRule="auto"/>
              <w:jc w:val="right"/>
              <w:rPr>
                <w:b/>
                <w:sz w:val="20"/>
              </w:rPr>
            </w:pPr>
            <w:r w:rsidRPr="009D59B9">
              <w:rPr>
                <w:b/>
                <w:sz w:val="20"/>
              </w:rPr>
              <w:t>2.763</w:t>
            </w:r>
          </w:p>
        </w:tc>
        <w:tc>
          <w:tcPr>
            <w:tcW w:w="1080" w:type="dxa"/>
            <w:tcBorders>
              <w:top w:val="double" w:sz="4" w:space="0" w:color="auto"/>
              <w:bottom w:val="double" w:sz="4" w:space="0" w:color="auto"/>
            </w:tcBorders>
            <w:noWrap/>
            <w:vAlign w:val="bottom"/>
          </w:tcPr>
          <w:p w:rsidR="006D3DF9" w:rsidRPr="009D59B9" w:rsidRDefault="006D3DF9" w:rsidP="006D3DF9">
            <w:pPr>
              <w:spacing w:line="240" w:lineRule="auto"/>
              <w:jc w:val="right"/>
              <w:rPr>
                <w:b/>
                <w:sz w:val="20"/>
              </w:rPr>
            </w:pPr>
            <w:r w:rsidRPr="009D59B9">
              <w:rPr>
                <w:b/>
                <w:sz w:val="20"/>
              </w:rPr>
              <w:t>3.394</w:t>
            </w:r>
          </w:p>
        </w:tc>
      </w:tr>
      <w:tr w:rsidR="006D3DF9" w:rsidRPr="009D59B9" w:rsidTr="006D3DF9">
        <w:trPr>
          <w:trHeight w:val="300"/>
        </w:trPr>
        <w:tc>
          <w:tcPr>
            <w:tcW w:w="3240" w:type="dxa"/>
            <w:noWrap/>
            <w:vAlign w:val="bottom"/>
          </w:tcPr>
          <w:p w:rsidR="006D3DF9" w:rsidRPr="009D59B9" w:rsidRDefault="006D3DF9" w:rsidP="006D3DF9">
            <w:pPr>
              <w:spacing w:line="240" w:lineRule="auto"/>
              <w:rPr>
                <w:szCs w:val="22"/>
                <w:lang w:val="el-GR"/>
              </w:rPr>
            </w:pPr>
          </w:p>
        </w:tc>
        <w:tc>
          <w:tcPr>
            <w:tcW w:w="1260" w:type="dxa"/>
            <w:tcBorders>
              <w:top w:val="double" w:sz="4" w:space="0" w:color="auto"/>
              <w:bottom w:val="nil"/>
            </w:tcBorders>
            <w:noWrap/>
            <w:vAlign w:val="bottom"/>
          </w:tcPr>
          <w:p w:rsidR="006D3DF9" w:rsidRPr="009D59B9" w:rsidRDefault="006D3DF9" w:rsidP="006D3DF9">
            <w:pPr>
              <w:spacing w:line="240" w:lineRule="auto"/>
              <w:jc w:val="right"/>
              <w:rPr>
                <w:sz w:val="20"/>
                <w:u w:val="double"/>
                <w:lang w:val="el-GR"/>
              </w:rPr>
            </w:pPr>
          </w:p>
        </w:tc>
        <w:tc>
          <w:tcPr>
            <w:tcW w:w="1080" w:type="dxa"/>
            <w:tcBorders>
              <w:top w:val="double" w:sz="4" w:space="0" w:color="auto"/>
              <w:bottom w:val="nil"/>
            </w:tcBorders>
            <w:noWrap/>
            <w:vAlign w:val="bottom"/>
          </w:tcPr>
          <w:p w:rsidR="006D3DF9" w:rsidRPr="009D59B9" w:rsidRDefault="006D3DF9" w:rsidP="006D3DF9">
            <w:pPr>
              <w:spacing w:line="240" w:lineRule="auto"/>
              <w:jc w:val="right"/>
              <w:rPr>
                <w:sz w:val="20"/>
                <w:u w:val="double"/>
                <w:lang w:val="el-GR"/>
              </w:rPr>
            </w:pPr>
          </w:p>
        </w:tc>
        <w:tc>
          <w:tcPr>
            <w:tcW w:w="1440" w:type="dxa"/>
            <w:tcBorders>
              <w:top w:val="double" w:sz="4" w:space="0" w:color="auto"/>
              <w:bottom w:val="nil"/>
            </w:tcBorders>
            <w:vAlign w:val="bottom"/>
          </w:tcPr>
          <w:p w:rsidR="006D3DF9" w:rsidRPr="009D59B9" w:rsidRDefault="006D3DF9" w:rsidP="006D3DF9">
            <w:pPr>
              <w:spacing w:line="240" w:lineRule="auto"/>
              <w:jc w:val="right"/>
              <w:rPr>
                <w:sz w:val="20"/>
                <w:u w:val="double"/>
                <w:lang w:val="el-GR"/>
              </w:rPr>
            </w:pPr>
          </w:p>
        </w:tc>
        <w:tc>
          <w:tcPr>
            <w:tcW w:w="1080" w:type="dxa"/>
            <w:tcBorders>
              <w:top w:val="double" w:sz="4" w:space="0" w:color="auto"/>
              <w:bottom w:val="nil"/>
            </w:tcBorders>
            <w:noWrap/>
            <w:vAlign w:val="bottom"/>
          </w:tcPr>
          <w:p w:rsidR="006D3DF9" w:rsidRPr="009D59B9" w:rsidRDefault="006D3DF9" w:rsidP="006D3DF9">
            <w:pPr>
              <w:spacing w:line="240" w:lineRule="auto"/>
              <w:jc w:val="right"/>
              <w:rPr>
                <w:sz w:val="20"/>
                <w:u w:val="double"/>
                <w:lang w:val="el-GR"/>
              </w:rPr>
            </w:pPr>
          </w:p>
        </w:tc>
      </w:tr>
      <w:tr w:rsidR="006D3DF9" w:rsidRPr="009D59B9" w:rsidTr="006D3DF9">
        <w:trPr>
          <w:trHeight w:val="300"/>
        </w:trPr>
        <w:tc>
          <w:tcPr>
            <w:tcW w:w="3240" w:type="dxa"/>
            <w:noWrap/>
            <w:vAlign w:val="bottom"/>
          </w:tcPr>
          <w:p w:rsidR="006D3DF9" w:rsidRPr="009D59B9" w:rsidRDefault="006D3DF9" w:rsidP="006D3DF9">
            <w:pPr>
              <w:spacing w:line="240" w:lineRule="auto"/>
              <w:rPr>
                <w:szCs w:val="22"/>
              </w:rPr>
            </w:pPr>
            <w:r w:rsidRPr="009D59B9">
              <w:rPr>
                <w:szCs w:val="22"/>
                <w:lang w:val="el-GR"/>
              </w:rPr>
              <w:t>Υπόλοιπα 1 Ιανουαρίου 201</w:t>
            </w:r>
            <w:r w:rsidRPr="009D59B9">
              <w:rPr>
                <w:szCs w:val="22"/>
              </w:rPr>
              <w:t>2</w:t>
            </w:r>
          </w:p>
        </w:tc>
        <w:tc>
          <w:tcPr>
            <w:tcW w:w="1260" w:type="dxa"/>
            <w:tcBorders>
              <w:bottom w:val="double" w:sz="4" w:space="0" w:color="auto"/>
            </w:tcBorders>
            <w:noWrap/>
            <w:vAlign w:val="bottom"/>
          </w:tcPr>
          <w:p w:rsidR="006D3DF9" w:rsidRPr="009D59B9" w:rsidRDefault="006D3DF9" w:rsidP="006D3DF9">
            <w:pPr>
              <w:spacing w:line="240" w:lineRule="auto"/>
              <w:jc w:val="right"/>
              <w:rPr>
                <w:sz w:val="20"/>
                <w:lang w:val="el-GR"/>
              </w:rPr>
            </w:pPr>
            <w:r w:rsidRPr="009D59B9">
              <w:rPr>
                <w:sz w:val="20"/>
                <w:lang w:val="el-GR"/>
              </w:rPr>
              <w:t>59</w:t>
            </w:r>
          </w:p>
        </w:tc>
        <w:tc>
          <w:tcPr>
            <w:tcW w:w="1080" w:type="dxa"/>
            <w:tcBorders>
              <w:bottom w:val="double" w:sz="4" w:space="0" w:color="auto"/>
            </w:tcBorders>
            <w:noWrap/>
            <w:vAlign w:val="bottom"/>
          </w:tcPr>
          <w:p w:rsidR="006D3DF9" w:rsidRPr="009D59B9" w:rsidRDefault="006D3DF9" w:rsidP="006D3DF9">
            <w:pPr>
              <w:spacing w:line="240" w:lineRule="auto"/>
              <w:jc w:val="right"/>
              <w:rPr>
                <w:sz w:val="20"/>
              </w:rPr>
            </w:pPr>
            <w:r w:rsidRPr="009D59B9">
              <w:rPr>
                <w:sz w:val="20"/>
              </w:rPr>
              <w:t>527</w:t>
            </w:r>
          </w:p>
        </w:tc>
        <w:tc>
          <w:tcPr>
            <w:tcW w:w="1440" w:type="dxa"/>
            <w:tcBorders>
              <w:bottom w:val="double" w:sz="4" w:space="0" w:color="auto"/>
            </w:tcBorders>
            <w:vAlign w:val="bottom"/>
          </w:tcPr>
          <w:p w:rsidR="006D3DF9" w:rsidRPr="009D59B9" w:rsidRDefault="006D3DF9" w:rsidP="006D3DF9">
            <w:pPr>
              <w:spacing w:line="240" w:lineRule="auto"/>
              <w:jc w:val="right"/>
              <w:rPr>
                <w:sz w:val="20"/>
              </w:rPr>
            </w:pPr>
            <w:r w:rsidRPr="009D59B9">
              <w:rPr>
                <w:sz w:val="20"/>
              </w:rPr>
              <w:t>2.763</w:t>
            </w:r>
          </w:p>
        </w:tc>
        <w:tc>
          <w:tcPr>
            <w:tcW w:w="1080" w:type="dxa"/>
            <w:tcBorders>
              <w:bottom w:val="double" w:sz="4" w:space="0" w:color="auto"/>
            </w:tcBorders>
            <w:noWrap/>
            <w:vAlign w:val="bottom"/>
          </w:tcPr>
          <w:p w:rsidR="006D3DF9" w:rsidRPr="009D59B9" w:rsidRDefault="006D3DF9" w:rsidP="006D3DF9">
            <w:pPr>
              <w:spacing w:line="240" w:lineRule="auto"/>
              <w:jc w:val="right"/>
              <w:rPr>
                <w:sz w:val="20"/>
              </w:rPr>
            </w:pPr>
            <w:r w:rsidRPr="009D59B9">
              <w:rPr>
                <w:sz w:val="20"/>
              </w:rPr>
              <w:t>3.394</w:t>
            </w:r>
          </w:p>
        </w:tc>
      </w:tr>
      <w:tr w:rsidR="006D3DF9" w:rsidRPr="008B76A7" w:rsidTr="006D3DF9">
        <w:trPr>
          <w:trHeight w:val="300"/>
        </w:trPr>
        <w:tc>
          <w:tcPr>
            <w:tcW w:w="3240" w:type="dxa"/>
            <w:tcBorders>
              <w:bottom w:val="nil"/>
            </w:tcBorders>
            <w:noWrap/>
            <w:vAlign w:val="bottom"/>
          </w:tcPr>
          <w:p w:rsidR="006D3DF9" w:rsidRPr="009D59B9" w:rsidRDefault="006D3DF9" w:rsidP="006D3DF9">
            <w:pPr>
              <w:spacing w:line="240" w:lineRule="auto"/>
              <w:rPr>
                <w:bCs/>
                <w:szCs w:val="22"/>
              </w:rPr>
            </w:pPr>
            <w:r w:rsidRPr="009D59B9">
              <w:rPr>
                <w:bCs/>
                <w:szCs w:val="22"/>
                <w:lang w:val="el-GR"/>
              </w:rPr>
              <w:t>Υπόλοιπα 31 Δεκεμβρίου 201</w:t>
            </w:r>
            <w:r w:rsidRPr="009D59B9">
              <w:rPr>
                <w:bCs/>
                <w:szCs w:val="22"/>
              </w:rPr>
              <w:t>2</w:t>
            </w:r>
          </w:p>
        </w:tc>
        <w:tc>
          <w:tcPr>
            <w:tcW w:w="1260" w:type="dxa"/>
            <w:tcBorders>
              <w:top w:val="double" w:sz="4" w:space="0" w:color="auto"/>
              <w:bottom w:val="double" w:sz="4" w:space="0" w:color="auto"/>
            </w:tcBorders>
            <w:noWrap/>
            <w:vAlign w:val="bottom"/>
          </w:tcPr>
          <w:p w:rsidR="006D3DF9" w:rsidRPr="009D59B9" w:rsidRDefault="006D3DF9" w:rsidP="006D3DF9">
            <w:pPr>
              <w:spacing w:line="240" w:lineRule="auto"/>
              <w:jc w:val="right"/>
              <w:rPr>
                <w:b/>
                <w:sz w:val="20"/>
                <w:lang w:val="el-GR"/>
              </w:rPr>
            </w:pPr>
            <w:r w:rsidRPr="009D59B9">
              <w:rPr>
                <w:b/>
                <w:sz w:val="20"/>
                <w:lang w:val="el-GR"/>
              </w:rPr>
              <w:t>59</w:t>
            </w:r>
          </w:p>
        </w:tc>
        <w:tc>
          <w:tcPr>
            <w:tcW w:w="1080" w:type="dxa"/>
            <w:tcBorders>
              <w:top w:val="double" w:sz="4" w:space="0" w:color="auto"/>
              <w:bottom w:val="double" w:sz="4" w:space="0" w:color="auto"/>
            </w:tcBorders>
            <w:noWrap/>
            <w:vAlign w:val="bottom"/>
          </w:tcPr>
          <w:p w:rsidR="006D3DF9" w:rsidRPr="009D59B9" w:rsidRDefault="006D3DF9" w:rsidP="006D3DF9">
            <w:pPr>
              <w:spacing w:line="240" w:lineRule="auto"/>
              <w:jc w:val="right"/>
              <w:rPr>
                <w:b/>
                <w:sz w:val="20"/>
              </w:rPr>
            </w:pPr>
            <w:r w:rsidRPr="009D59B9">
              <w:rPr>
                <w:b/>
                <w:sz w:val="20"/>
              </w:rPr>
              <w:t>34</w:t>
            </w:r>
          </w:p>
        </w:tc>
        <w:tc>
          <w:tcPr>
            <w:tcW w:w="1440" w:type="dxa"/>
            <w:tcBorders>
              <w:top w:val="double" w:sz="4" w:space="0" w:color="auto"/>
              <w:bottom w:val="double" w:sz="4" w:space="0" w:color="auto"/>
            </w:tcBorders>
            <w:vAlign w:val="bottom"/>
          </w:tcPr>
          <w:p w:rsidR="006D3DF9" w:rsidRPr="009D59B9" w:rsidRDefault="006D3DF9" w:rsidP="006D3DF9">
            <w:pPr>
              <w:spacing w:line="240" w:lineRule="auto"/>
              <w:jc w:val="right"/>
              <w:rPr>
                <w:b/>
                <w:sz w:val="20"/>
              </w:rPr>
            </w:pPr>
            <w:r w:rsidRPr="009D59B9">
              <w:rPr>
                <w:b/>
                <w:sz w:val="20"/>
              </w:rPr>
              <w:t>859</w:t>
            </w:r>
          </w:p>
        </w:tc>
        <w:tc>
          <w:tcPr>
            <w:tcW w:w="1080" w:type="dxa"/>
            <w:tcBorders>
              <w:top w:val="double" w:sz="4" w:space="0" w:color="auto"/>
              <w:bottom w:val="double" w:sz="4" w:space="0" w:color="auto"/>
            </w:tcBorders>
            <w:noWrap/>
            <w:vAlign w:val="bottom"/>
          </w:tcPr>
          <w:p w:rsidR="006D3DF9" w:rsidRPr="005A0B02" w:rsidRDefault="006D3DF9" w:rsidP="006D3DF9">
            <w:pPr>
              <w:spacing w:line="240" w:lineRule="auto"/>
              <w:jc w:val="right"/>
              <w:rPr>
                <w:b/>
                <w:sz w:val="20"/>
              </w:rPr>
            </w:pPr>
            <w:r w:rsidRPr="009D59B9">
              <w:rPr>
                <w:b/>
                <w:sz w:val="20"/>
              </w:rPr>
              <w:t>952</w:t>
            </w:r>
          </w:p>
        </w:tc>
      </w:tr>
    </w:tbl>
    <w:p w:rsidR="004B417C" w:rsidRPr="00902820" w:rsidRDefault="004B417C" w:rsidP="00663D37">
      <w:pPr>
        <w:spacing w:line="120" w:lineRule="atLeast"/>
        <w:rPr>
          <w:lang w:val="el-GR"/>
        </w:rPr>
      </w:pPr>
    </w:p>
    <w:p w:rsidR="004B417C" w:rsidRPr="005A32E5" w:rsidRDefault="004B417C" w:rsidP="00AC2D11">
      <w:pPr>
        <w:pStyle w:val="Heading1"/>
        <w:keepLines/>
        <w:numPr>
          <w:ilvl w:val="0"/>
          <w:numId w:val="32"/>
        </w:numPr>
        <w:shd w:val="clear" w:color="auto" w:fill="auto"/>
        <w:spacing w:before="130" w:line="280" w:lineRule="atLeast"/>
        <w:ind w:left="357" w:hanging="357"/>
        <w:rPr>
          <w:szCs w:val="22"/>
          <w:lang w:val="el-GR"/>
        </w:rPr>
      </w:pPr>
      <w:r w:rsidRPr="005A32E5">
        <w:rPr>
          <w:szCs w:val="22"/>
          <w:lang w:val="el-GR"/>
        </w:rPr>
        <w:t>Ακίνητα Επενδύσεων</w:t>
      </w:r>
    </w:p>
    <w:p w:rsidR="004B417C" w:rsidRPr="005A32E5" w:rsidRDefault="004B417C" w:rsidP="00707538">
      <w:pPr>
        <w:rPr>
          <w:lang w:val="el-GR"/>
        </w:rPr>
      </w:pPr>
    </w:p>
    <w:p w:rsidR="004B417C" w:rsidRPr="005A32E5" w:rsidRDefault="004B417C" w:rsidP="00707538">
      <w:pPr>
        <w:rPr>
          <w:lang w:val="el-GR"/>
        </w:rPr>
      </w:pPr>
      <w:r w:rsidRPr="005A32E5">
        <w:rPr>
          <w:lang w:val="el-GR"/>
        </w:rPr>
        <w:t>Η κίνηση των ακινήτων επενδύσεων αναλύεται ως εξής:</w:t>
      </w:r>
    </w:p>
    <w:tbl>
      <w:tblPr>
        <w:tblW w:w="7939" w:type="dxa"/>
        <w:tblInd w:w="108" w:type="dxa"/>
        <w:tblBorders>
          <w:bottom w:val="single" w:sz="4" w:space="0" w:color="auto"/>
        </w:tblBorders>
        <w:tblLayout w:type="fixed"/>
        <w:tblLook w:val="0000"/>
      </w:tblPr>
      <w:tblGrid>
        <w:gridCol w:w="3544"/>
        <w:gridCol w:w="1560"/>
        <w:gridCol w:w="1418"/>
        <w:gridCol w:w="1417"/>
      </w:tblGrid>
      <w:tr w:rsidR="004B417C" w:rsidRPr="005A32E5">
        <w:trPr>
          <w:trHeight w:val="531"/>
        </w:trPr>
        <w:tc>
          <w:tcPr>
            <w:tcW w:w="3544" w:type="dxa"/>
            <w:noWrap/>
            <w:vAlign w:val="bottom"/>
          </w:tcPr>
          <w:p w:rsidR="004B417C" w:rsidRPr="005A32E5" w:rsidRDefault="004B417C" w:rsidP="002E2A1B">
            <w:pPr>
              <w:spacing w:line="240" w:lineRule="auto"/>
              <w:rPr>
                <w:szCs w:val="22"/>
                <w:lang w:val="el-GR"/>
              </w:rPr>
            </w:pPr>
          </w:p>
        </w:tc>
        <w:tc>
          <w:tcPr>
            <w:tcW w:w="1560" w:type="dxa"/>
            <w:vAlign w:val="bottom"/>
          </w:tcPr>
          <w:p w:rsidR="004B417C" w:rsidRPr="005A32E5" w:rsidRDefault="004B417C" w:rsidP="002E2A1B">
            <w:pPr>
              <w:spacing w:line="240" w:lineRule="auto"/>
              <w:jc w:val="center"/>
              <w:rPr>
                <w:b/>
                <w:bCs/>
                <w:szCs w:val="22"/>
                <w:lang w:val="el-GR"/>
              </w:rPr>
            </w:pPr>
            <w:r w:rsidRPr="005A32E5">
              <w:rPr>
                <w:b/>
                <w:bCs/>
                <w:szCs w:val="22"/>
                <w:lang w:val="el-GR"/>
              </w:rPr>
              <w:t xml:space="preserve">Γήπεδα -  </w:t>
            </w:r>
            <w:r w:rsidRPr="005A32E5">
              <w:rPr>
                <w:b/>
                <w:bCs/>
                <w:szCs w:val="22"/>
                <w:u w:val="single"/>
                <w:lang w:val="el-GR"/>
              </w:rPr>
              <w:t>Οικόπεδα</w:t>
            </w:r>
          </w:p>
        </w:tc>
        <w:tc>
          <w:tcPr>
            <w:tcW w:w="1418" w:type="dxa"/>
            <w:vAlign w:val="bottom"/>
          </w:tcPr>
          <w:p w:rsidR="004B417C" w:rsidRPr="005A32E5" w:rsidRDefault="004B417C" w:rsidP="002E2A1B">
            <w:pPr>
              <w:spacing w:line="240" w:lineRule="auto"/>
              <w:jc w:val="center"/>
              <w:rPr>
                <w:b/>
                <w:bCs/>
                <w:szCs w:val="22"/>
                <w:lang w:val="el-GR"/>
              </w:rPr>
            </w:pPr>
            <w:r w:rsidRPr="005A32E5">
              <w:rPr>
                <w:b/>
                <w:bCs/>
                <w:szCs w:val="22"/>
                <w:u w:val="single"/>
                <w:lang w:val="el-GR"/>
              </w:rPr>
              <w:t>Κτίρια</w:t>
            </w:r>
          </w:p>
        </w:tc>
        <w:tc>
          <w:tcPr>
            <w:tcW w:w="1417" w:type="dxa"/>
            <w:vAlign w:val="bottom"/>
          </w:tcPr>
          <w:p w:rsidR="004B417C" w:rsidRPr="005A32E5" w:rsidRDefault="004B417C" w:rsidP="002E2A1B">
            <w:pPr>
              <w:spacing w:line="240" w:lineRule="auto"/>
              <w:jc w:val="center"/>
              <w:rPr>
                <w:b/>
                <w:bCs/>
                <w:szCs w:val="22"/>
                <w:u w:val="single"/>
                <w:lang w:val="el-GR"/>
              </w:rPr>
            </w:pPr>
            <w:r w:rsidRPr="005A32E5">
              <w:rPr>
                <w:b/>
                <w:bCs/>
                <w:szCs w:val="22"/>
                <w:u w:val="single"/>
                <w:lang w:val="el-GR"/>
              </w:rPr>
              <w:t>Σύνολο</w:t>
            </w:r>
          </w:p>
        </w:tc>
      </w:tr>
      <w:tr w:rsidR="004B417C" w:rsidRPr="005A32E5">
        <w:trPr>
          <w:trHeight w:val="300"/>
        </w:trPr>
        <w:tc>
          <w:tcPr>
            <w:tcW w:w="3544" w:type="dxa"/>
            <w:noWrap/>
            <w:vAlign w:val="bottom"/>
          </w:tcPr>
          <w:p w:rsidR="004B417C" w:rsidRPr="005A32E5" w:rsidRDefault="004B417C" w:rsidP="002E2A1B">
            <w:pPr>
              <w:spacing w:line="240" w:lineRule="auto"/>
              <w:rPr>
                <w:b/>
                <w:bCs/>
                <w:i/>
                <w:szCs w:val="22"/>
                <w:lang w:val="el-GR"/>
              </w:rPr>
            </w:pPr>
            <w:r w:rsidRPr="005A32E5">
              <w:rPr>
                <w:b/>
                <w:bCs/>
                <w:szCs w:val="22"/>
                <w:lang w:val="el-GR"/>
              </w:rPr>
              <w:t>Αξία κτήσης</w:t>
            </w:r>
          </w:p>
        </w:tc>
        <w:tc>
          <w:tcPr>
            <w:tcW w:w="1560" w:type="dxa"/>
            <w:noWrap/>
            <w:vAlign w:val="bottom"/>
          </w:tcPr>
          <w:p w:rsidR="004B417C" w:rsidRPr="005A32E5" w:rsidRDefault="004B417C" w:rsidP="002E2A1B">
            <w:pPr>
              <w:spacing w:line="240" w:lineRule="auto"/>
              <w:rPr>
                <w:i/>
                <w:szCs w:val="22"/>
                <w:lang w:val="el-GR"/>
              </w:rPr>
            </w:pPr>
          </w:p>
        </w:tc>
        <w:tc>
          <w:tcPr>
            <w:tcW w:w="1418" w:type="dxa"/>
            <w:noWrap/>
            <w:vAlign w:val="bottom"/>
          </w:tcPr>
          <w:p w:rsidR="004B417C" w:rsidRPr="005A32E5" w:rsidRDefault="004B417C" w:rsidP="002E2A1B">
            <w:pPr>
              <w:spacing w:line="240" w:lineRule="auto"/>
              <w:rPr>
                <w:i/>
                <w:szCs w:val="22"/>
                <w:lang w:val="el-GR"/>
              </w:rPr>
            </w:pPr>
          </w:p>
        </w:tc>
        <w:tc>
          <w:tcPr>
            <w:tcW w:w="1417" w:type="dxa"/>
            <w:noWrap/>
            <w:vAlign w:val="bottom"/>
          </w:tcPr>
          <w:p w:rsidR="004B417C" w:rsidRPr="005A32E5" w:rsidRDefault="004B417C" w:rsidP="002E2A1B">
            <w:pPr>
              <w:spacing w:line="240" w:lineRule="auto"/>
              <w:rPr>
                <w:i/>
                <w:szCs w:val="22"/>
                <w:lang w:val="el-GR"/>
              </w:rPr>
            </w:pPr>
          </w:p>
        </w:tc>
      </w:tr>
      <w:tr w:rsidR="004B417C" w:rsidRPr="005A32E5">
        <w:trPr>
          <w:trHeight w:val="300"/>
        </w:trPr>
        <w:tc>
          <w:tcPr>
            <w:tcW w:w="3544" w:type="dxa"/>
            <w:noWrap/>
            <w:vAlign w:val="bottom"/>
          </w:tcPr>
          <w:p w:rsidR="004B417C" w:rsidRPr="005A32E5" w:rsidRDefault="004B417C" w:rsidP="002E2A1B">
            <w:pPr>
              <w:pStyle w:val="Heading3"/>
              <w:spacing w:line="240" w:lineRule="auto"/>
              <w:rPr>
                <w:b w:val="0"/>
                <w:bCs/>
                <w:i/>
                <w:szCs w:val="22"/>
              </w:rPr>
            </w:pPr>
          </w:p>
        </w:tc>
        <w:tc>
          <w:tcPr>
            <w:tcW w:w="1560" w:type="dxa"/>
            <w:noWrap/>
            <w:vAlign w:val="bottom"/>
          </w:tcPr>
          <w:p w:rsidR="004B417C" w:rsidRPr="005A32E5" w:rsidRDefault="004B417C" w:rsidP="002E2A1B">
            <w:pPr>
              <w:spacing w:line="240" w:lineRule="auto"/>
              <w:jc w:val="right"/>
              <w:rPr>
                <w:i/>
                <w:sz w:val="20"/>
                <w:lang w:val="el-GR"/>
              </w:rPr>
            </w:pPr>
          </w:p>
        </w:tc>
        <w:tc>
          <w:tcPr>
            <w:tcW w:w="1418" w:type="dxa"/>
            <w:noWrap/>
            <w:vAlign w:val="bottom"/>
          </w:tcPr>
          <w:p w:rsidR="004B417C" w:rsidRPr="005A32E5" w:rsidRDefault="004B417C" w:rsidP="002E2A1B">
            <w:pPr>
              <w:spacing w:line="240" w:lineRule="auto"/>
              <w:jc w:val="right"/>
              <w:rPr>
                <w:i/>
                <w:sz w:val="20"/>
                <w:lang w:val="el-GR"/>
              </w:rPr>
            </w:pPr>
          </w:p>
        </w:tc>
        <w:tc>
          <w:tcPr>
            <w:tcW w:w="1417" w:type="dxa"/>
            <w:noWrap/>
            <w:vAlign w:val="bottom"/>
          </w:tcPr>
          <w:p w:rsidR="004B417C" w:rsidRPr="005A32E5" w:rsidRDefault="004B417C" w:rsidP="002E2A1B">
            <w:pPr>
              <w:spacing w:line="240" w:lineRule="auto"/>
              <w:jc w:val="right"/>
              <w:rPr>
                <w:i/>
                <w:sz w:val="20"/>
                <w:lang w:val="el-GR"/>
              </w:rPr>
            </w:pPr>
          </w:p>
        </w:tc>
      </w:tr>
      <w:tr w:rsidR="004B417C" w:rsidRPr="005A32E5">
        <w:trPr>
          <w:trHeight w:val="300"/>
        </w:trPr>
        <w:tc>
          <w:tcPr>
            <w:tcW w:w="3544" w:type="dxa"/>
            <w:noWrap/>
            <w:vAlign w:val="bottom"/>
          </w:tcPr>
          <w:p w:rsidR="004B417C" w:rsidRPr="00A14D98" w:rsidRDefault="00A14D98" w:rsidP="002E2A1B">
            <w:pPr>
              <w:spacing w:line="240" w:lineRule="auto"/>
              <w:rPr>
                <w:szCs w:val="22"/>
                <w:lang w:val="el-GR"/>
              </w:rPr>
            </w:pPr>
            <w:r w:rsidRPr="005A32E5">
              <w:rPr>
                <w:szCs w:val="22"/>
                <w:lang w:val="el-GR"/>
              </w:rPr>
              <w:t>Υπόλοιπα 1 Ιανουαρίου 201</w:t>
            </w:r>
            <w:r w:rsidRPr="005A32E5">
              <w:rPr>
                <w:szCs w:val="22"/>
              </w:rPr>
              <w:t>2</w:t>
            </w:r>
          </w:p>
        </w:tc>
        <w:tc>
          <w:tcPr>
            <w:tcW w:w="1560" w:type="dxa"/>
            <w:noWrap/>
            <w:vAlign w:val="bottom"/>
          </w:tcPr>
          <w:p w:rsidR="004B417C" w:rsidRPr="005A32E5" w:rsidRDefault="004B417C" w:rsidP="002E2A1B">
            <w:pPr>
              <w:spacing w:line="240" w:lineRule="auto"/>
              <w:jc w:val="right"/>
              <w:rPr>
                <w:bCs/>
                <w:sz w:val="20"/>
              </w:rPr>
            </w:pPr>
            <w:r w:rsidRPr="005A32E5">
              <w:rPr>
                <w:bCs/>
                <w:sz w:val="20"/>
                <w:lang w:val="el-GR"/>
              </w:rPr>
              <w:t>13.907</w:t>
            </w:r>
          </w:p>
        </w:tc>
        <w:tc>
          <w:tcPr>
            <w:tcW w:w="1418" w:type="dxa"/>
            <w:noWrap/>
            <w:vAlign w:val="bottom"/>
          </w:tcPr>
          <w:p w:rsidR="004B417C" w:rsidRPr="005A32E5" w:rsidRDefault="004B417C" w:rsidP="002E2A1B">
            <w:pPr>
              <w:spacing w:line="240" w:lineRule="auto"/>
              <w:jc w:val="right"/>
              <w:rPr>
                <w:sz w:val="20"/>
                <w:lang w:val="el-GR"/>
              </w:rPr>
            </w:pPr>
            <w:r w:rsidRPr="005A32E5">
              <w:rPr>
                <w:sz w:val="20"/>
                <w:lang w:val="el-GR"/>
              </w:rPr>
              <w:t>45.115</w:t>
            </w:r>
          </w:p>
        </w:tc>
        <w:tc>
          <w:tcPr>
            <w:tcW w:w="1417" w:type="dxa"/>
            <w:noWrap/>
            <w:vAlign w:val="bottom"/>
          </w:tcPr>
          <w:p w:rsidR="004B417C" w:rsidRPr="005A32E5" w:rsidRDefault="004B417C" w:rsidP="002E2A1B">
            <w:pPr>
              <w:spacing w:line="240" w:lineRule="auto"/>
              <w:jc w:val="right"/>
              <w:rPr>
                <w:sz w:val="20"/>
                <w:lang w:val="el-GR"/>
              </w:rPr>
            </w:pPr>
            <w:r w:rsidRPr="005A32E5">
              <w:rPr>
                <w:sz w:val="20"/>
                <w:lang w:val="el-GR"/>
              </w:rPr>
              <w:t>59.022</w:t>
            </w:r>
          </w:p>
        </w:tc>
      </w:tr>
      <w:tr w:rsidR="007921A1" w:rsidRPr="005A32E5">
        <w:trPr>
          <w:trHeight w:val="300"/>
        </w:trPr>
        <w:tc>
          <w:tcPr>
            <w:tcW w:w="3544" w:type="dxa"/>
            <w:noWrap/>
            <w:vAlign w:val="bottom"/>
          </w:tcPr>
          <w:p w:rsidR="007921A1" w:rsidRPr="005A32E5" w:rsidRDefault="007921A1" w:rsidP="00025BB4">
            <w:pPr>
              <w:spacing w:line="240" w:lineRule="auto"/>
              <w:rPr>
                <w:szCs w:val="22"/>
                <w:lang w:val="el-GR"/>
              </w:rPr>
            </w:pPr>
            <w:r w:rsidRPr="005A32E5">
              <w:rPr>
                <w:szCs w:val="22"/>
                <w:lang w:val="el-GR"/>
              </w:rPr>
              <w:t>Προσθήκες / (Μειώσεις)</w:t>
            </w:r>
          </w:p>
        </w:tc>
        <w:tc>
          <w:tcPr>
            <w:tcW w:w="1560" w:type="dxa"/>
            <w:noWrap/>
            <w:vAlign w:val="bottom"/>
          </w:tcPr>
          <w:p w:rsidR="007921A1" w:rsidRPr="005A32E5" w:rsidRDefault="007921A1" w:rsidP="00025BB4">
            <w:pPr>
              <w:spacing w:line="240" w:lineRule="auto"/>
              <w:jc w:val="right"/>
              <w:rPr>
                <w:sz w:val="20"/>
              </w:rPr>
            </w:pPr>
            <w:r w:rsidRPr="005A32E5">
              <w:rPr>
                <w:sz w:val="20"/>
              </w:rPr>
              <w:t>-</w:t>
            </w:r>
          </w:p>
        </w:tc>
        <w:tc>
          <w:tcPr>
            <w:tcW w:w="1418" w:type="dxa"/>
            <w:noWrap/>
            <w:vAlign w:val="bottom"/>
          </w:tcPr>
          <w:p w:rsidR="007921A1" w:rsidRPr="007921A1" w:rsidRDefault="007921A1" w:rsidP="00025BB4">
            <w:pPr>
              <w:spacing w:line="240" w:lineRule="auto"/>
              <w:jc w:val="right"/>
              <w:rPr>
                <w:sz w:val="20"/>
              </w:rPr>
            </w:pPr>
            <w:r>
              <w:rPr>
                <w:sz w:val="20"/>
                <w:lang w:val="el-GR"/>
              </w:rPr>
              <w:t>2</w:t>
            </w:r>
            <w:r>
              <w:rPr>
                <w:sz w:val="20"/>
              </w:rPr>
              <w:t>3</w:t>
            </w:r>
            <w:r>
              <w:rPr>
                <w:sz w:val="20"/>
                <w:lang w:val="el-GR"/>
              </w:rPr>
              <w:t>.</w:t>
            </w:r>
            <w:r>
              <w:rPr>
                <w:sz w:val="20"/>
              </w:rPr>
              <w:t>740</w:t>
            </w:r>
          </w:p>
        </w:tc>
        <w:tc>
          <w:tcPr>
            <w:tcW w:w="1417" w:type="dxa"/>
            <w:noWrap/>
            <w:vAlign w:val="bottom"/>
          </w:tcPr>
          <w:p w:rsidR="007921A1" w:rsidRPr="007921A1" w:rsidRDefault="007921A1" w:rsidP="00025BB4">
            <w:pPr>
              <w:spacing w:line="240" w:lineRule="auto"/>
              <w:jc w:val="right"/>
              <w:rPr>
                <w:sz w:val="20"/>
              </w:rPr>
            </w:pPr>
            <w:r>
              <w:rPr>
                <w:sz w:val="20"/>
              </w:rPr>
              <w:t>23</w:t>
            </w:r>
            <w:r>
              <w:rPr>
                <w:sz w:val="20"/>
                <w:lang w:val="el-GR"/>
              </w:rPr>
              <w:t>.</w:t>
            </w:r>
            <w:r>
              <w:rPr>
                <w:sz w:val="20"/>
              </w:rPr>
              <w:t>740</w:t>
            </w:r>
          </w:p>
        </w:tc>
      </w:tr>
      <w:tr w:rsidR="007921A1" w:rsidRPr="005A32E5">
        <w:trPr>
          <w:trHeight w:val="300"/>
        </w:trPr>
        <w:tc>
          <w:tcPr>
            <w:tcW w:w="3544" w:type="dxa"/>
            <w:noWrap/>
            <w:vAlign w:val="bottom"/>
          </w:tcPr>
          <w:p w:rsidR="007921A1" w:rsidRPr="005A32E5" w:rsidRDefault="007921A1" w:rsidP="002E2A1B">
            <w:pPr>
              <w:spacing w:line="240" w:lineRule="auto"/>
              <w:rPr>
                <w:szCs w:val="22"/>
                <w:lang w:val="el-GR"/>
              </w:rPr>
            </w:pPr>
            <w:r>
              <w:rPr>
                <w:szCs w:val="22"/>
                <w:lang w:val="el-GR"/>
              </w:rPr>
              <w:t>Απομειώσεις</w:t>
            </w:r>
            <w:r w:rsidRPr="005A32E5">
              <w:rPr>
                <w:szCs w:val="22"/>
                <w:lang w:val="el-GR"/>
              </w:rPr>
              <w:t xml:space="preserve"> </w:t>
            </w:r>
          </w:p>
        </w:tc>
        <w:tc>
          <w:tcPr>
            <w:tcW w:w="1560" w:type="dxa"/>
            <w:noWrap/>
            <w:vAlign w:val="bottom"/>
          </w:tcPr>
          <w:p w:rsidR="007921A1" w:rsidRPr="005A32E5" w:rsidRDefault="007921A1" w:rsidP="002E2A1B">
            <w:pPr>
              <w:spacing w:line="240" w:lineRule="auto"/>
              <w:jc w:val="right"/>
              <w:rPr>
                <w:sz w:val="20"/>
              </w:rPr>
            </w:pPr>
          </w:p>
        </w:tc>
        <w:tc>
          <w:tcPr>
            <w:tcW w:w="1418" w:type="dxa"/>
            <w:noWrap/>
            <w:vAlign w:val="bottom"/>
          </w:tcPr>
          <w:p w:rsidR="007921A1" w:rsidRPr="005A32E5" w:rsidRDefault="007921A1" w:rsidP="002E2A1B">
            <w:pPr>
              <w:spacing w:line="240" w:lineRule="auto"/>
              <w:jc w:val="right"/>
              <w:rPr>
                <w:sz w:val="20"/>
                <w:lang w:val="el-GR"/>
              </w:rPr>
            </w:pPr>
            <w:r>
              <w:rPr>
                <w:sz w:val="20"/>
                <w:lang w:val="el-GR"/>
              </w:rPr>
              <w:t>(2</w:t>
            </w:r>
            <w:r>
              <w:rPr>
                <w:sz w:val="20"/>
              </w:rPr>
              <w:t>0</w:t>
            </w:r>
            <w:r>
              <w:rPr>
                <w:sz w:val="20"/>
                <w:lang w:val="el-GR"/>
              </w:rPr>
              <w:t>.</w:t>
            </w:r>
            <w:r>
              <w:rPr>
                <w:sz w:val="20"/>
              </w:rPr>
              <w:t>309</w:t>
            </w:r>
            <w:r w:rsidRPr="005A32E5">
              <w:rPr>
                <w:sz w:val="20"/>
                <w:lang w:val="el-GR"/>
              </w:rPr>
              <w:t>)</w:t>
            </w:r>
          </w:p>
        </w:tc>
        <w:tc>
          <w:tcPr>
            <w:tcW w:w="1417" w:type="dxa"/>
            <w:noWrap/>
            <w:vAlign w:val="bottom"/>
          </w:tcPr>
          <w:p w:rsidR="007921A1" w:rsidRPr="005A32E5" w:rsidRDefault="007921A1" w:rsidP="002E2A1B">
            <w:pPr>
              <w:spacing w:line="240" w:lineRule="auto"/>
              <w:jc w:val="right"/>
              <w:rPr>
                <w:sz w:val="20"/>
                <w:lang w:val="el-GR"/>
              </w:rPr>
            </w:pPr>
            <w:r w:rsidRPr="005A32E5">
              <w:rPr>
                <w:sz w:val="20"/>
                <w:lang w:val="el-GR"/>
              </w:rPr>
              <w:t>(20.309)</w:t>
            </w:r>
          </w:p>
        </w:tc>
      </w:tr>
      <w:tr w:rsidR="007921A1" w:rsidRPr="005A32E5">
        <w:trPr>
          <w:trHeight w:val="300"/>
        </w:trPr>
        <w:tc>
          <w:tcPr>
            <w:tcW w:w="3544" w:type="dxa"/>
            <w:noWrap/>
            <w:vAlign w:val="bottom"/>
          </w:tcPr>
          <w:p w:rsidR="007921A1" w:rsidRPr="005A32E5" w:rsidRDefault="007921A1" w:rsidP="002E2A1B">
            <w:pPr>
              <w:spacing w:line="240" w:lineRule="auto"/>
              <w:rPr>
                <w:b/>
                <w:bCs/>
                <w:szCs w:val="22"/>
              </w:rPr>
            </w:pPr>
            <w:r w:rsidRPr="005A32E5">
              <w:rPr>
                <w:b/>
                <w:bCs/>
                <w:szCs w:val="22"/>
                <w:lang w:val="el-GR"/>
              </w:rPr>
              <w:t>Υπόλοιπα 31 Δεκεμβρίου 201</w:t>
            </w:r>
            <w:r w:rsidRPr="005A32E5">
              <w:rPr>
                <w:b/>
                <w:bCs/>
                <w:szCs w:val="22"/>
              </w:rPr>
              <w:t>2</w:t>
            </w:r>
          </w:p>
        </w:tc>
        <w:tc>
          <w:tcPr>
            <w:tcW w:w="1560" w:type="dxa"/>
            <w:tcBorders>
              <w:top w:val="single" w:sz="4" w:space="0" w:color="auto"/>
            </w:tcBorders>
            <w:noWrap/>
            <w:vAlign w:val="bottom"/>
          </w:tcPr>
          <w:p w:rsidR="007921A1" w:rsidRPr="005A32E5" w:rsidRDefault="007921A1" w:rsidP="002E2A1B">
            <w:pPr>
              <w:spacing w:line="240" w:lineRule="auto"/>
              <w:jc w:val="right"/>
              <w:rPr>
                <w:sz w:val="20"/>
                <w:lang w:val="el-GR"/>
              </w:rPr>
            </w:pPr>
            <w:r w:rsidRPr="005A32E5">
              <w:rPr>
                <w:sz w:val="20"/>
                <w:lang w:val="el-GR"/>
              </w:rPr>
              <w:t>13.907</w:t>
            </w:r>
          </w:p>
        </w:tc>
        <w:tc>
          <w:tcPr>
            <w:tcW w:w="1418" w:type="dxa"/>
            <w:tcBorders>
              <w:top w:val="single" w:sz="4" w:space="0" w:color="auto"/>
            </w:tcBorders>
            <w:noWrap/>
            <w:vAlign w:val="bottom"/>
          </w:tcPr>
          <w:p w:rsidR="007921A1" w:rsidRPr="007921A1" w:rsidRDefault="007921A1" w:rsidP="002E2A1B">
            <w:pPr>
              <w:spacing w:line="240" w:lineRule="auto"/>
              <w:jc w:val="right"/>
              <w:rPr>
                <w:sz w:val="20"/>
              </w:rPr>
            </w:pPr>
            <w:r>
              <w:rPr>
                <w:sz w:val="20"/>
                <w:lang w:val="el-GR"/>
              </w:rPr>
              <w:t>48.</w:t>
            </w:r>
            <w:r>
              <w:rPr>
                <w:sz w:val="20"/>
              </w:rPr>
              <w:t>546</w:t>
            </w:r>
          </w:p>
        </w:tc>
        <w:tc>
          <w:tcPr>
            <w:tcW w:w="1417" w:type="dxa"/>
            <w:tcBorders>
              <w:top w:val="single" w:sz="4" w:space="0" w:color="auto"/>
            </w:tcBorders>
            <w:noWrap/>
            <w:vAlign w:val="bottom"/>
          </w:tcPr>
          <w:p w:rsidR="007921A1" w:rsidRPr="007921A1" w:rsidRDefault="007921A1" w:rsidP="002E2A1B">
            <w:pPr>
              <w:spacing w:line="240" w:lineRule="auto"/>
              <w:jc w:val="right"/>
              <w:rPr>
                <w:sz w:val="20"/>
              </w:rPr>
            </w:pPr>
            <w:r>
              <w:rPr>
                <w:sz w:val="20"/>
              </w:rPr>
              <w:t>62</w:t>
            </w:r>
            <w:r>
              <w:rPr>
                <w:sz w:val="20"/>
                <w:lang w:val="el-GR"/>
              </w:rPr>
              <w:t>.</w:t>
            </w:r>
            <w:r>
              <w:rPr>
                <w:sz w:val="20"/>
              </w:rPr>
              <w:t>453</w:t>
            </w:r>
          </w:p>
        </w:tc>
      </w:tr>
      <w:tr w:rsidR="007921A1" w:rsidRPr="005A32E5">
        <w:trPr>
          <w:trHeight w:val="300"/>
        </w:trPr>
        <w:tc>
          <w:tcPr>
            <w:tcW w:w="3544" w:type="dxa"/>
            <w:noWrap/>
            <w:vAlign w:val="bottom"/>
          </w:tcPr>
          <w:p w:rsidR="007921A1" w:rsidRPr="005A32E5" w:rsidRDefault="007921A1" w:rsidP="002E2A1B">
            <w:pPr>
              <w:spacing w:line="240" w:lineRule="auto"/>
              <w:rPr>
                <w:b/>
                <w:szCs w:val="22"/>
                <w:lang w:val="el-GR"/>
              </w:rPr>
            </w:pPr>
          </w:p>
        </w:tc>
        <w:tc>
          <w:tcPr>
            <w:tcW w:w="1560" w:type="dxa"/>
            <w:noWrap/>
            <w:vAlign w:val="bottom"/>
          </w:tcPr>
          <w:p w:rsidR="007921A1" w:rsidRPr="005A32E5" w:rsidRDefault="007921A1" w:rsidP="002E2A1B">
            <w:pPr>
              <w:spacing w:line="240" w:lineRule="auto"/>
              <w:jc w:val="right"/>
              <w:rPr>
                <w:sz w:val="20"/>
                <w:lang w:val="el-GR"/>
              </w:rPr>
            </w:pPr>
          </w:p>
        </w:tc>
        <w:tc>
          <w:tcPr>
            <w:tcW w:w="1418" w:type="dxa"/>
            <w:noWrap/>
            <w:vAlign w:val="bottom"/>
          </w:tcPr>
          <w:p w:rsidR="007921A1" w:rsidRPr="005A32E5" w:rsidRDefault="007921A1" w:rsidP="002E2A1B">
            <w:pPr>
              <w:spacing w:line="240" w:lineRule="auto"/>
              <w:jc w:val="right"/>
              <w:rPr>
                <w:sz w:val="20"/>
                <w:lang w:val="el-GR"/>
              </w:rPr>
            </w:pPr>
          </w:p>
        </w:tc>
        <w:tc>
          <w:tcPr>
            <w:tcW w:w="1417" w:type="dxa"/>
            <w:noWrap/>
            <w:vAlign w:val="bottom"/>
          </w:tcPr>
          <w:p w:rsidR="007921A1" w:rsidRPr="005A32E5" w:rsidRDefault="007921A1" w:rsidP="002E2A1B">
            <w:pPr>
              <w:spacing w:line="240" w:lineRule="auto"/>
              <w:jc w:val="right"/>
              <w:rPr>
                <w:sz w:val="20"/>
                <w:lang w:val="el-GR"/>
              </w:rPr>
            </w:pPr>
          </w:p>
        </w:tc>
      </w:tr>
      <w:tr w:rsidR="007921A1" w:rsidRPr="005A32E5">
        <w:trPr>
          <w:trHeight w:val="300"/>
        </w:trPr>
        <w:tc>
          <w:tcPr>
            <w:tcW w:w="3544" w:type="dxa"/>
            <w:tcBorders>
              <w:bottom w:val="nil"/>
            </w:tcBorders>
            <w:noWrap/>
            <w:vAlign w:val="bottom"/>
          </w:tcPr>
          <w:p w:rsidR="007921A1" w:rsidRPr="005A32E5" w:rsidRDefault="007921A1" w:rsidP="002E2A1B">
            <w:pPr>
              <w:spacing w:line="240" w:lineRule="auto"/>
              <w:rPr>
                <w:b/>
                <w:bCs/>
                <w:szCs w:val="22"/>
                <w:lang w:val="el-GR"/>
              </w:rPr>
            </w:pPr>
            <w:r w:rsidRPr="005A32E5">
              <w:rPr>
                <w:b/>
                <w:bCs/>
                <w:szCs w:val="22"/>
                <w:lang w:val="el-GR"/>
              </w:rPr>
              <w:t>Αποσβέσεις</w:t>
            </w:r>
          </w:p>
        </w:tc>
        <w:tc>
          <w:tcPr>
            <w:tcW w:w="1560" w:type="dxa"/>
            <w:tcBorders>
              <w:bottom w:val="nil"/>
            </w:tcBorders>
            <w:noWrap/>
            <w:vAlign w:val="bottom"/>
          </w:tcPr>
          <w:p w:rsidR="007921A1" w:rsidRPr="005A32E5" w:rsidRDefault="007921A1" w:rsidP="002E2A1B">
            <w:pPr>
              <w:spacing w:line="240" w:lineRule="auto"/>
              <w:jc w:val="right"/>
              <w:rPr>
                <w:i/>
                <w:sz w:val="20"/>
                <w:lang w:val="el-GR"/>
              </w:rPr>
            </w:pPr>
          </w:p>
        </w:tc>
        <w:tc>
          <w:tcPr>
            <w:tcW w:w="1418" w:type="dxa"/>
            <w:tcBorders>
              <w:bottom w:val="nil"/>
            </w:tcBorders>
            <w:noWrap/>
            <w:vAlign w:val="bottom"/>
          </w:tcPr>
          <w:p w:rsidR="007921A1" w:rsidRPr="005A32E5" w:rsidRDefault="007921A1" w:rsidP="002E2A1B">
            <w:pPr>
              <w:spacing w:line="240" w:lineRule="auto"/>
              <w:jc w:val="right"/>
              <w:rPr>
                <w:i/>
                <w:sz w:val="20"/>
                <w:lang w:val="el-GR"/>
              </w:rPr>
            </w:pPr>
          </w:p>
        </w:tc>
        <w:tc>
          <w:tcPr>
            <w:tcW w:w="1417" w:type="dxa"/>
            <w:tcBorders>
              <w:bottom w:val="nil"/>
            </w:tcBorders>
            <w:noWrap/>
            <w:vAlign w:val="bottom"/>
          </w:tcPr>
          <w:p w:rsidR="007921A1" w:rsidRPr="005A32E5" w:rsidRDefault="007921A1" w:rsidP="002E2A1B">
            <w:pPr>
              <w:spacing w:line="240" w:lineRule="auto"/>
              <w:jc w:val="right"/>
              <w:rPr>
                <w:i/>
                <w:sz w:val="20"/>
                <w:lang w:val="el-GR"/>
              </w:rPr>
            </w:pPr>
          </w:p>
        </w:tc>
      </w:tr>
      <w:tr w:rsidR="007921A1" w:rsidRPr="005A32E5">
        <w:trPr>
          <w:trHeight w:val="300"/>
        </w:trPr>
        <w:tc>
          <w:tcPr>
            <w:tcW w:w="3544" w:type="dxa"/>
            <w:tcBorders>
              <w:top w:val="nil"/>
            </w:tcBorders>
            <w:noWrap/>
            <w:vAlign w:val="bottom"/>
          </w:tcPr>
          <w:p w:rsidR="007921A1" w:rsidRPr="005A32E5" w:rsidRDefault="007921A1" w:rsidP="002E2A1B">
            <w:pPr>
              <w:spacing w:line="240" w:lineRule="auto"/>
              <w:rPr>
                <w:bCs/>
                <w:szCs w:val="22"/>
              </w:rPr>
            </w:pPr>
            <w:r w:rsidRPr="005A32E5">
              <w:rPr>
                <w:bCs/>
                <w:szCs w:val="22"/>
                <w:lang w:val="el-GR"/>
              </w:rPr>
              <w:t>Υπόλοιπα 1 Ιανουαρίου 201</w:t>
            </w:r>
            <w:r w:rsidRPr="005A32E5">
              <w:rPr>
                <w:bCs/>
                <w:szCs w:val="22"/>
              </w:rPr>
              <w:t>2</w:t>
            </w:r>
          </w:p>
        </w:tc>
        <w:tc>
          <w:tcPr>
            <w:tcW w:w="1560" w:type="dxa"/>
            <w:tcBorders>
              <w:top w:val="nil"/>
            </w:tcBorders>
            <w:noWrap/>
            <w:vAlign w:val="bottom"/>
          </w:tcPr>
          <w:p w:rsidR="007921A1" w:rsidRPr="005A32E5" w:rsidRDefault="007921A1" w:rsidP="002E2A1B">
            <w:pPr>
              <w:spacing w:line="240" w:lineRule="auto"/>
              <w:jc w:val="right"/>
              <w:rPr>
                <w:bCs/>
                <w:sz w:val="20"/>
                <w:lang w:val="el-GR"/>
              </w:rPr>
            </w:pPr>
            <w:r w:rsidRPr="005A32E5">
              <w:rPr>
                <w:bCs/>
                <w:sz w:val="20"/>
                <w:lang w:val="el-GR"/>
              </w:rPr>
              <w:t>-</w:t>
            </w:r>
          </w:p>
        </w:tc>
        <w:tc>
          <w:tcPr>
            <w:tcW w:w="1418" w:type="dxa"/>
            <w:tcBorders>
              <w:top w:val="nil"/>
            </w:tcBorders>
            <w:noWrap/>
            <w:vAlign w:val="bottom"/>
          </w:tcPr>
          <w:p w:rsidR="007921A1" w:rsidRPr="005A32E5" w:rsidRDefault="007921A1" w:rsidP="002E2A1B">
            <w:pPr>
              <w:spacing w:line="240" w:lineRule="auto"/>
              <w:jc w:val="right"/>
              <w:rPr>
                <w:bCs/>
                <w:sz w:val="20"/>
                <w:lang w:val="el-GR"/>
              </w:rPr>
            </w:pPr>
            <w:r w:rsidRPr="005A32E5">
              <w:rPr>
                <w:bCs/>
                <w:sz w:val="20"/>
                <w:lang w:val="el-GR"/>
              </w:rPr>
              <w:t>(898)</w:t>
            </w:r>
          </w:p>
        </w:tc>
        <w:tc>
          <w:tcPr>
            <w:tcW w:w="1417" w:type="dxa"/>
            <w:tcBorders>
              <w:top w:val="nil"/>
            </w:tcBorders>
            <w:noWrap/>
            <w:vAlign w:val="bottom"/>
          </w:tcPr>
          <w:p w:rsidR="007921A1" w:rsidRPr="005A32E5" w:rsidRDefault="007921A1" w:rsidP="002E2A1B">
            <w:pPr>
              <w:spacing w:line="240" w:lineRule="auto"/>
              <w:jc w:val="right"/>
              <w:rPr>
                <w:bCs/>
                <w:sz w:val="20"/>
                <w:lang w:val="el-GR"/>
              </w:rPr>
            </w:pPr>
            <w:r w:rsidRPr="005A32E5">
              <w:rPr>
                <w:bCs/>
                <w:sz w:val="20"/>
                <w:lang w:val="el-GR"/>
              </w:rPr>
              <w:t>(898)</w:t>
            </w:r>
          </w:p>
        </w:tc>
      </w:tr>
      <w:tr w:rsidR="007921A1" w:rsidRPr="005A32E5">
        <w:trPr>
          <w:trHeight w:val="300"/>
        </w:trPr>
        <w:tc>
          <w:tcPr>
            <w:tcW w:w="3544" w:type="dxa"/>
            <w:noWrap/>
            <w:vAlign w:val="bottom"/>
          </w:tcPr>
          <w:p w:rsidR="007921A1" w:rsidRPr="005A32E5" w:rsidRDefault="007921A1" w:rsidP="002E2A1B">
            <w:pPr>
              <w:spacing w:line="240" w:lineRule="auto"/>
              <w:rPr>
                <w:szCs w:val="22"/>
                <w:lang w:val="el-GR"/>
              </w:rPr>
            </w:pPr>
            <w:r w:rsidRPr="005A32E5">
              <w:rPr>
                <w:szCs w:val="22"/>
                <w:lang w:val="el-GR"/>
              </w:rPr>
              <w:t>Αποσβέσεις</w:t>
            </w:r>
          </w:p>
        </w:tc>
        <w:tc>
          <w:tcPr>
            <w:tcW w:w="1560" w:type="dxa"/>
            <w:tcBorders>
              <w:bottom w:val="nil"/>
            </w:tcBorders>
            <w:noWrap/>
            <w:vAlign w:val="bottom"/>
          </w:tcPr>
          <w:p w:rsidR="007921A1" w:rsidRPr="005A32E5" w:rsidRDefault="007921A1" w:rsidP="002E2A1B">
            <w:pPr>
              <w:spacing w:line="240" w:lineRule="auto"/>
              <w:jc w:val="right"/>
              <w:rPr>
                <w:bCs/>
                <w:sz w:val="20"/>
                <w:lang w:val="el-GR"/>
              </w:rPr>
            </w:pPr>
            <w:r w:rsidRPr="005A32E5">
              <w:rPr>
                <w:bCs/>
                <w:sz w:val="20"/>
                <w:lang w:val="el-GR"/>
              </w:rPr>
              <w:t>-</w:t>
            </w:r>
          </w:p>
        </w:tc>
        <w:tc>
          <w:tcPr>
            <w:tcW w:w="1418" w:type="dxa"/>
            <w:tcBorders>
              <w:bottom w:val="nil"/>
            </w:tcBorders>
            <w:noWrap/>
            <w:vAlign w:val="bottom"/>
          </w:tcPr>
          <w:p w:rsidR="007921A1" w:rsidRPr="005A32E5" w:rsidRDefault="007921A1" w:rsidP="002E2A1B">
            <w:pPr>
              <w:spacing w:line="240" w:lineRule="auto"/>
              <w:jc w:val="right"/>
              <w:rPr>
                <w:bCs/>
                <w:sz w:val="20"/>
                <w:lang w:val="el-GR"/>
              </w:rPr>
            </w:pPr>
            <w:r>
              <w:rPr>
                <w:bCs/>
                <w:sz w:val="20"/>
                <w:lang w:val="el-GR"/>
              </w:rPr>
              <w:t>(1.</w:t>
            </w:r>
            <w:r>
              <w:rPr>
                <w:bCs/>
                <w:sz w:val="20"/>
              </w:rPr>
              <w:t>617</w:t>
            </w:r>
            <w:r w:rsidRPr="005A32E5">
              <w:rPr>
                <w:bCs/>
                <w:sz w:val="20"/>
                <w:lang w:val="el-GR"/>
              </w:rPr>
              <w:t>)</w:t>
            </w:r>
          </w:p>
        </w:tc>
        <w:tc>
          <w:tcPr>
            <w:tcW w:w="1417" w:type="dxa"/>
            <w:tcBorders>
              <w:bottom w:val="nil"/>
            </w:tcBorders>
            <w:noWrap/>
            <w:vAlign w:val="bottom"/>
          </w:tcPr>
          <w:p w:rsidR="007921A1" w:rsidRPr="005A32E5" w:rsidRDefault="007921A1" w:rsidP="002E2A1B">
            <w:pPr>
              <w:spacing w:line="240" w:lineRule="auto"/>
              <w:jc w:val="right"/>
              <w:rPr>
                <w:bCs/>
                <w:sz w:val="20"/>
                <w:lang w:val="el-GR"/>
              </w:rPr>
            </w:pPr>
            <w:r>
              <w:rPr>
                <w:bCs/>
                <w:sz w:val="20"/>
                <w:lang w:val="el-GR"/>
              </w:rPr>
              <w:t>(1.6</w:t>
            </w:r>
            <w:r>
              <w:rPr>
                <w:bCs/>
                <w:sz w:val="20"/>
              </w:rPr>
              <w:t>17</w:t>
            </w:r>
            <w:r w:rsidRPr="005A32E5">
              <w:rPr>
                <w:bCs/>
                <w:sz w:val="20"/>
                <w:lang w:val="el-GR"/>
              </w:rPr>
              <w:t>)</w:t>
            </w:r>
          </w:p>
        </w:tc>
      </w:tr>
      <w:tr w:rsidR="007921A1" w:rsidRPr="005A32E5">
        <w:trPr>
          <w:trHeight w:val="300"/>
        </w:trPr>
        <w:tc>
          <w:tcPr>
            <w:tcW w:w="3544" w:type="dxa"/>
            <w:noWrap/>
            <w:vAlign w:val="bottom"/>
          </w:tcPr>
          <w:p w:rsidR="007921A1" w:rsidRPr="005A32E5" w:rsidRDefault="007921A1" w:rsidP="002E2A1B">
            <w:pPr>
              <w:spacing w:line="240" w:lineRule="auto"/>
              <w:rPr>
                <w:b/>
                <w:szCs w:val="22"/>
              </w:rPr>
            </w:pPr>
            <w:r w:rsidRPr="005A32E5">
              <w:rPr>
                <w:b/>
                <w:szCs w:val="22"/>
                <w:lang w:val="el-GR"/>
              </w:rPr>
              <w:t>Υπόλοιπα 31 Δεκεμβρίου 201</w:t>
            </w:r>
            <w:r w:rsidRPr="005A32E5">
              <w:rPr>
                <w:b/>
                <w:szCs w:val="22"/>
              </w:rPr>
              <w:t>2</w:t>
            </w:r>
          </w:p>
        </w:tc>
        <w:tc>
          <w:tcPr>
            <w:tcW w:w="1560" w:type="dxa"/>
            <w:tcBorders>
              <w:top w:val="single" w:sz="4" w:space="0" w:color="auto"/>
            </w:tcBorders>
            <w:noWrap/>
            <w:vAlign w:val="bottom"/>
          </w:tcPr>
          <w:p w:rsidR="007921A1" w:rsidRPr="005A32E5" w:rsidRDefault="007921A1" w:rsidP="002E2A1B">
            <w:pPr>
              <w:spacing w:line="240" w:lineRule="auto"/>
              <w:jc w:val="right"/>
              <w:rPr>
                <w:bCs/>
                <w:sz w:val="20"/>
                <w:lang w:val="el-GR"/>
              </w:rPr>
            </w:pPr>
            <w:r w:rsidRPr="005A32E5">
              <w:rPr>
                <w:bCs/>
                <w:sz w:val="20"/>
                <w:lang w:val="el-GR"/>
              </w:rPr>
              <w:t>-</w:t>
            </w:r>
          </w:p>
        </w:tc>
        <w:tc>
          <w:tcPr>
            <w:tcW w:w="1418" w:type="dxa"/>
            <w:tcBorders>
              <w:top w:val="single" w:sz="4" w:space="0" w:color="auto"/>
            </w:tcBorders>
            <w:noWrap/>
            <w:vAlign w:val="bottom"/>
          </w:tcPr>
          <w:p w:rsidR="007921A1" w:rsidRPr="005A32E5" w:rsidRDefault="007921A1" w:rsidP="002E2A1B">
            <w:pPr>
              <w:spacing w:line="240" w:lineRule="auto"/>
              <w:jc w:val="right"/>
              <w:rPr>
                <w:bCs/>
                <w:sz w:val="20"/>
                <w:lang w:val="el-GR"/>
              </w:rPr>
            </w:pPr>
            <w:r>
              <w:rPr>
                <w:bCs/>
                <w:sz w:val="20"/>
                <w:lang w:val="el-GR"/>
              </w:rPr>
              <w:t>(2.</w:t>
            </w:r>
            <w:r>
              <w:rPr>
                <w:bCs/>
                <w:sz w:val="20"/>
              </w:rPr>
              <w:t>514</w:t>
            </w:r>
            <w:r w:rsidRPr="005A32E5">
              <w:rPr>
                <w:bCs/>
                <w:sz w:val="20"/>
                <w:lang w:val="el-GR"/>
              </w:rPr>
              <w:t>)</w:t>
            </w:r>
          </w:p>
        </w:tc>
        <w:tc>
          <w:tcPr>
            <w:tcW w:w="1417" w:type="dxa"/>
            <w:tcBorders>
              <w:top w:val="single" w:sz="4" w:space="0" w:color="auto"/>
            </w:tcBorders>
            <w:noWrap/>
            <w:vAlign w:val="bottom"/>
          </w:tcPr>
          <w:p w:rsidR="007921A1" w:rsidRPr="005A32E5" w:rsidRDefault="007921A1" w:rsidP="002E2A1B">
            <w:pPr>
              <w:spacing w:line="240" w:lineRule="auto"/>
              <w:jc w:val="right"/>
              <w:rPr>
                <w:bCs/>
                <w:sz w:val="20"/>
                <w:lang w:val="el-GR"/>
              </w:rPr>
            </w:pPr>
            <w:r>
              <w:rPr>
                <w:bCs/>
                <w:sz w:val="20"/>
                <w:lang w:val="el-GR"/>
              </w:rPr>
              <w:t>(2.</w:t>
            </w:r>
            <w:r>
              <w:rPr>
                <w:bCs/>
                <w:sz w:val="20"/>
              </w:rPr>
              <w:t>514</w:t>
            </w:r>
            <w:r w:rsidRPr="005A32E5">
              <w:rPr>
                <w:bCs/>
                <w:sz w:val="20"/>
                <w:lang w:val="el-GR"/>
              </w:rPr>
              <w:t>)</w:t>
            </w:r>
          </w:p>
        </w:tc>
      </w:tr>
      <w:tr w:rsidR="007921A1" w:rsidRPr="005A32E5">
        <w:trPr>
          <w:trHeight w:val="300"/>
        </w:trPr>
        <w:tc>
          <w:tcPr>
            <w:tcW w:w="3544" w:type="dxa"/>
            <w:noWrap/>
            <w:vAlign w:val="bottom"/>
          </w:tcPr>
          <w:p w:rsidR="007921A1" w:rsidRPr="005A32E5" w:rsidRDefault="007921A1" w:rsidP="002E2A1B">
            <w:pPr>
              <w:spacing w:line="240" w:lineRule="auto"/>
              <w:rPr>
                <w:szCs w:val="22"/>
                <w:lang w:val="el-GR"/>
              </w:rPr>
            </w:pPr>
          </w:p>
        </w:tc>
        <w:tc>
          <w:tcPr>
            <w:tcW w:w="1560" w:type="dxa"/>
            <w:noWrap/>
            <w:vAlign w:val="bottom"/>
          </w:tcPr>
          <w:p w:rsidR="007921A1" w:rsidRPr="005A32E5" w:rsidRDefault="007921A1" w:rsidP="002E2A1B">
            <w:pPr>
              <w:spacing w:line="240" w:lineRule="auto"/>
              <w:jc w:val="right"/>
              <w:rPr>
                <w:sz w:val="20"/>
                <w:lang w:val="el-GR"/>
              </w:rPr>
            </w:pPr>
          </w:p>
        </w:tc>
        <w:tc>
          <w:tcPr>
            <w:tcW w:w="1418" w:type="dxa"/>
            <w:noWrap/>
            <w:vAlign w:val="bottom"/>
          </w:tcPr>
          <w:p w:rsidR="007921A1" w:rsidRPr="005A32E5" w:rsidRDefault="007921A1" w:rsidP="002E2A1B">
            <w:pPr>
              <w:spacing w:line="240" w:lineRule="auto"/>
              <w:jc w:val="right"/>
              <w:rPr>
                <w:sz w:val="20"/>
                <w:lang w:val="el-GR"/>
              </w:rPr>
            </w:pPr>
          </w:p>
        </w:tc>
        <w:tc>
          <w:tcPr>
            <w:tcW w:w="1417" w:type="dxa"/>
            <w:noWrap/>
            <w:vAlign w:val="bottom"/>
          </w:tcPr>
          <w:p w:rsidR="007921A1" w:rsidRPr="005A32E5" w:rsidRDefault="007921A1" w:rsidP="002E2A1B">
            <w:pPr>
              <w:spacing w:line="240" w:lineRule="auto"/>
              <w:jc w:val="right"/>
              <w:rPr>
                <w:sz w:val="20"/>
                <w:lang w:val="el-GR"/>
              </w:rPr>
            </w:pPr>
          </w:p>
        </w:tc>
      </w:tr>
      <w:tr w:rsidR="007921A1" w:rsidRPr="005A32E5">
        <w:trPr>
          <w:trHeight w:val="300"/>
        </w:trPr>
        <w:tc>
          <w:tcPr>
            <w:tcW w:w="3544" w:type="dxa"/>
            <w:tcBorders>
              <w:bottom w:val="nil"/>
            </w:tcBorders>
            <w:noWrap/>
            <w:vAlign w:val="bottom"/>
          </w:tcPr>
          <w:p w:rsidR="007921A1" w:rsidRPr="005A32E5" w:rsidRDefault="007921A1" w:rsidP="002E2A1B">
            <w:pPr>
              <w:pStyle w:val="Signature"/>
              <w:rPr>
                <w:b/>
                <w:szCs w:val="22"/>
                <w:lang w:val="el-GR"/>
              </w:rPr>
            </w:pPr>
            <w:r w:rsidRPr="005A32E5">
              <w:rPr>
                <w:b/>
                <w:szCs w:val="22"/>
                <w:lang w:val="el-GR"/>
              </w:rPr>
              <w:t>Αναπόσβεστη αξία</w:t>
            </w:r>
          </w:p>
        </w:tc>
        <w:tc>
          <w:tcPr>
            <w:tcW w:w="1560" w:type="dxa"/>
            <w:tcBorders>
              <w:bottom w:val="nil"/>
            </w:tcBorders>
            <w:noWrap/>
            <w:vAlign w:val="bottom"/>
          </w:tcPr>
          <w:p w:rsidR="007921A1" w:rsidRPr="005A32E5" w:rsidRDefault="007921A1" w:rsidP="002E2A1B">
            <w:pPr>
              <w:spacing w:line="240" w:lineRule="auto"/>
              <w:jc w:val="right"/>
              <w:rPr>
                <w:i/>
                <w:sz w:val="20"/>
                <w:lang w:val="el-GR"/>
              </w:rPr>
            </w:pPr>
          </w:p>
        </w:tc>
        <w:tc>
          <w:tcPr>
            <w:tcW w:w="1418" w:type="dxa"/>
            <w:tcBorders>
              <w:bottom w:val="nil"/>
            </w:tcBorders>
            <w:noWrap/>
            <w:vAlign w:val="bottom"/>
          </w:tcPr>
          <w:p w:rsidR="007921A1" w:rsidRPr="005A32E5" w:rsidRDefault="007921A1" w:rsidP="002E2A1B">
            <w:pPr>
              <w:spacing w:line="240" w:lineRule="auto"/>
              <w:jc w:val="right"/>
              <w:rPr>
                <w:i/>
                <w:sz w:val="20"/>
                <w:lang w:val="el-GR"/>
              </w:rPr>
            </w:pPr>
          </w:p>
        </w:tc>
        <w:tc>
          <w:tcPr>
            <w:tcW w:w="1417" w:type="dxa"/>
            <w:tcBorders>
              <w:bottom w:val="nil"/>
            </w:tcBorders>
            <w:noWrap/>
            <w:vAlign w:val="bottom"/>
          </w:tcPr>
          <w:p w:rsidR="007921A1" w:rsidRPr="005A32E5" w:rsidRDefault="007921A1" w:rsidP="002E2A1B">
            <w:pPr>
              <w:spacing w:line="240" w:lineRule="auto"/>
              <w:jc w:val="right"/>
              <w:rPr>
                <w:i/>
                <w:sz w:val="20"/>
                <w:lang w:val="el-GR"/>
              </w:rPr>
            </w:pPr>
          </w:p>
        </w:tc>
      </w:tr>
      <w:tr w:rsidR="007921A1" w:rsidRPr="005A32E5">
        <w:trPr>
          <w:trHeight w:val="300"/>
        </w:trPr>
        <w:tc>
          <w:tcPr>
            <w:tcW w:w="3544" w:type="dxa"/>
            <w:tcBorders>
              <w:top w:val="nil"/>
              <w:bottom w:val="nil"/>
            </w:tcBorders>
            <w:noWrap/>
            <w:vAlign w:val="bottom"/>
          </w:tcPr>
          <w:p w:rsidR="007921A1" w:rsidRPr="005A32E5" w:rsidRDefault="007921A1" w:rsidP="002E2A1B">
            <w:pPr>
              <w:spacing w:line="240" w:lineRule="auto"/>
              <w:rPr>
                <w:szCs w:val="22"/>
                <w:lang w:val="el-GR"/>
              </w:rPr>
            </w:pPr>
          </w:p>
        </w:tc>
        <w:tc>
          <w:tcPr>
            <w:tcW w:w="1560" w:type="dxa"/>
            <w:tcBorders>
              <w:top w:val="nil"/>
              <w:bottom w:val="nil"/>
            </w:tcBorders>
            <w:noWrap/>
            <w:vAlign w:val="bottom"/>
          </w:tcPr>
          <w:p w:rsidR="007921A1" w:rsidRPr="005A32E5" w:rsidRDefault="007921A1" w:rsidP="002E2A1B">
            <w:pPr>
              <w:spacing w:line="240" w:lineRule="auto"/>
              <w:jc w:val="right"/>
              <w:rPr>
                <w:sz w:val="20"/>
                <w:u w:val="double"/>
                <w:lang w:val="el-GR"/>
              </w:rPr>
            </w:pPr>
          </w:p>
        </w:tc>
        <w:tc>
          <w:tcPr>
            <w:tcW w:w="1418" w:type="dxa"/>
            <w:tcBorders>
              <w:top w:val="nil"/>
              <w:bottom w:val="nil"/>
            </w:tcBorders>
            <w:noWrap/>
            <w:vAlign w:val="bottom"/>
          </w:tcPr>
          <w:p w:rsidR="007921A1" w:rsidRPr="005A32E5" w:rsidRDefault="007921A1" w:rsidP="002E2A1B">
            <w:pPr>
              <w:spacing w:line="240" w:lineRule="auto"/>
              <w:jc w:val="right"/>
              <w:rPr>
                <w:sz w:val="20"/>
                <w:u w:val="double"/>
                <w:lang w:val="el-GR"/>
              </w:rPr>
            </w:pPr>
          </w:p>
        </w:tc>
        <w:tc>
          <w:tcPr>
            <w:tcW w:w="1417" w:type="dxa"/>
            <w:tcBorders>
              <w:top w:val="nil"/>
              <w:bottom w:val="nil"/>
            </w:tcBorders>
            <w:noWrap/>
            <w:vAlign w:val="bottom"/>
          </w:tcPr>
          <w:p w:rsidR="007921A1" w:rsidRPr="005A32E5" w:rsidRDefault="007921A1" w:rsidP="002E2A1B">
            <w:pPr>
              <w:spacing w:line="240" w:lineRule="auto"/>
              <w:jc w:val="right"/>
              <w:rPr>
                <w:sz w:val="20"/>
                <w:u w:val="double"/>
                <w:lang w:val="el-GR"/>
              </w:rPr>
            </w:pPr>
          </w:p>
        </w:tc>
      </w:tr>
      <w:tr w:rsidR="007921A1" w:rsidRPr="005A32E5">
        <w:trPr>
          <w:trHeight w:val="300"/>
        </w:trPr>
        <w:tc>
          <w:tcPr>
            <w:tcW w:w="3544" w:type="dxa"/>
            <w:tcBorders>
              <w:top w:val="nil"/>
            </w:tcBorders>
            <w:noWrap/>
            <w:vAlign w:val="bottom"/>
          </w:tcPr>
          <w:p w:rsidR="007921A1" w:rsidRPr="005A32E5" w:rsidRDefault="007921A1" w:rsidP="002E2A1B">
            <w:pPr>
              <w:spacing w:line="240" w:lineRule="auto"/>
              <w:rPr>
                <w:szCs w:val="22"/>
              </w:rPr>
            </w:pPr>
            <w:r w:rsidRPr="005A32E5">
              <w:rPr>
                <w:szCs w:val="22"/>
                <w:lang w:val="el-GR"/>
              </w:rPr>
              <w:t>Υπόλοιπα 1 Ιανουαρίου 201</w:t>
            </w:r>
            <w:r w:rsidRPr="005A32E5">
              <w:rPr>
                <w:szCs w:val="22"/>
              </w:rPr>
              <w:t>2</w:t>
            </w:r>
          </w:p>
        </w:tc>
        <w:tc>
          <w:tcPr>
            <w:tcW w:w="1560" w:type="dxa"/>
            <w:tcBorders>
              <w:top w:val="nil"/>
              <w:bottom w:val="double" w:sz="4" w:space="0" w:color="auto"/>
            </w:tcBorders>
            <w:noWrap/>
            <w:vAlign w:val="bottom"/>
          </w:tcPr>
          <w:p w:rsidR="007921A1" w:rsidRPr="005A32E5" w:rsidRDefault="007921A1" w:rsidP="002E2A1B">
            <w:pPr>
              <w:spacing w:line="240" w:lineRule="auto"/>
              <w:jc w:val="right"/>
              <w:rPr>
                <w:sz w:val="20"/>
              </w:rPr>
            </w:pPr>
            <w:r w:rsidRPr="005A32E5">
              <w:rPr>
                <w:sz w:val="20"/>
              </w:rPr>
              <w:t>13.907</w:t>
            </w:r>
          </w:p>
        </w:tc>
        <w:tc>
          <w:tcPr>
            <w:tcW w:w="1418" w:type="dxa"/>
            <w:tcBorders>
              <w:top w:val="nil"/>
              <w:bottom w:val="double" w:sz="4" w:space="0" w:color="auto"/>
            </w:tcBorders>
            <w:noWrap/>
            <w:vAlign w:val="bottom"/>
          </w:tcPr>
          <w:p w:rsidR="007921A1" w:rsidRPr="005A32E5" w:rsidRDefault="007921A1" w:rsidP="002E2A1B">
            <w:pPr>
              <w:spacing w:line="240" w:lineRule="auto"/>
              <w:jc w:val="right"/>
              <w:rPr>
                <w:sz w:val="20"/>
                <w:lang w:val="el-GR"/>
              </w:rPr>
            </w:pPr>
            <w:r w:rsidRPr="005A32E5">
              <w:rPr>
                <w:sz w:val="20"/>
                <w:lang w:val="el-GR"/>
              </w:rPr>
              <w:t>44.217</w:t>
            </w:r>
          </w:p>
        </w:tc>
        <w:tc>
          <w:tcPr>
            <w:tcW w:w="1417" w:type="dxa"/>
            <w:tcBorders>
              <w:top w:val="nil"/>
              <w:bottom w:val="double" w:sz="4" w:space="0" w:color="auto"/>
            </w:tcBorders>
            <w:noWrap/>
            <w:vAlign w:val="bottom"/>
          </w:tcPr>
          <w:p w:rsidR="007921A1" w:rsidRPr="005A32E5" w:rsidRDefault="007921A1" w:rsidP="002E2A1B">
            <w:pPr>
              <w:spacing w:line="240" w:lineRule="auto"/>
              <w:jc w:val="right"/>
              <w:rPr>
                <w:sz w:val="20"/>
                <w:lang w:val="el-GR"/>
              </w:rPr>
            </w:pPr>
            <w:r w:rsidRPr="005A32E5">
              <w:rPr>
                <w:sz w:val="20"/>
                <w:lang w:val="el-GR"/>
              </w:rPr>
              <w:t>58.124</w:t>
            </w:r>
          </w:p>
        </w:tc>
      </w:tr>
      <w:tr w:rsidR="007921A1" w:rsidRPr="005A32E5">
        <w:trPr>
          <w:trHeight w:val="300"/>
        </w:trPr>
        <w:tc>
          <w:tcPr>
            <w:tcW w:w="3544" w:type="dxa"/>
            <w:tcBorders>
              <w:bottom w:val="nil"/>
            </w:tcBorders>
            <w:noWrap/>
            <w:vAlign w:val="bottom"/>
          </w:tcPr>
          <w:p w:rsidR="007921A1" w:rsidRPr="005A32E5" w:rsidRDefault="007921A1" w:rsidP="002E2A1B">
            <w:pPr>
              <w:spacing w:line="240" w:lineRule="auto"/>
              <w:rPr>
                <w:bCs/>
                <w:szCs w:val="22"/>
              </w:rPr>
            </w:pPr>
            <w:r w:rsidRPr="005A32E5">
              <w:rPr>
                <w:bCs/>
                <w:szCs w:val="22"/>
                <w:lang w:val="el-GR"/>
              </w:rPr>
              <w:t>Υπόλοιπα 31 Δεκεμβρίου 201</w:t>
            </w:r>
            <w:r w:rsidRPr="005A32E5">
              <w:rPr>
                <w:bCs/>
                <w:szCs w:val="22"/>
              </w:rPr>
              <w:t>2</w:t>
            </w:r>
          </w:p>
        </w:tc>
        <w:tc>
          <w:tcPr>
            <w:tcW w:w="1560" w:type="dxa"/>
            <w:tcBorders>
              <w:top w:val="double" w:sz="4" w:space="0" w:color="auto"/>
              <w:bottom w:val="double" w:sz="4" w:space="0" w:color="auto"/>
            </w:tcBorders>
            <w:noWrap/>
            <w:vAlign w:val="bottom"/>
          </w:tcPr>
          <w:p w:rsidR="007921A1" w:rsidRPr="005A32E5" w:rsidRDefault="007921A1" w:rsidP="002E2A1B">
            <w:pPr>
              <w:spacing w:line="240" w:lineRule="auto"/>
              <w:jc w:val="right"/>
              <w:rPr>
                <w:b/>
                <w:sz w:val="20"/>
              </w:rPr>
            </w:pPr>
            <w:r w:rsidRPr="005A32E5">
              <w:rPr>
                <w:b/>
                <w:sz w:val="20"/>
              </w:rPr>
              <w:t>13.907</w:t>
            </w:r>
          </w:p>
        </w:tc>
        <w:tc>
          <w:tcPr>
            <w:tcW w:w="1418" w:type="dxa"/>
            <w:tcBorders>
              <w:top w:val="double" w:sz="4" w:space="0" w:color="auto"/>
              <w:bottom w:val="double" w:sz="4" w:space="0" w:color="auto"/>
            </w:tcBorders>
            <w:noWrap/>
            <w:vAlign w:val="bottom"/>
          </w:tcPr>
          <w:p w:rsidR="007921A1" w:rsidRPr="005A32E5" w:rsidRDefault="007921A1" w:rsidP="002E2A1B">
            <w:pPr>
              <w:spacing w:line="240" w:lineRule="auto"/>
              <w:jc w:val="right"/>
              <w:rPr>
                <w:b/>
                <w:sz w:val="20"/>
                <w:lang w:val="el-GR"/>
              </w:rPr>
            </w:pPr>
            <w:r w:rsidRPr="005A32E5">
              <w:rPr>
                <w:b/>
                <w:sz w:val="20"/>
                <w:lang w:val="el-GR"/>
              </w:rPr>
              <w:t>46.032</w:t>
            </w:r>
          </w:p>
        </w:tc>
        <w:tc>
          <w:tcPr>
            <w:tcW w:w="1417" w:type="dxa"/>
            <w:tcBorders>
              <w:top w:val="double" w:sz="4" w:space="0" w:color="auto"/>
              <w:bottom w:val="double" w:sz="4" w:space="0" w:color="auto"/>
            </w:tcBorders>
            <w:noWrap/>
            <w:vAlign w:val="bottom"/>
          </w:tcPr>
          <w:p w:rsidR="007921A1" w:rsidRPr="005A32E5" w:rsidRDefault="007921A1" w:rsidP="002E2A1B">
            <w:pPr>
              <w:spacing w:line="240" w:lineRule="auto"/>
              <w:jc w:val="right"/>
              <w:rPr>
                <w:b/>
                <w:sz w:val="20"/>
                <w:lang w:val="el-GR"/>
              </w:rPr>
            </w:pPr>
            <w:r w:rsidRPr="005A32E5">
              <w:rPr>
                <w:b/>
                <w:sz w:val="20"/>
                <w:lang w:val="el-GR"/>
              </w:rPr>
              <w:t>59.939</w:t>
            </w:r>
          </w:p>
        </w:tc>
      </w:tr>
    </w:tbl>
    <w:p w:rsidR="004B417C" w:rsidRPr="005A32E5" w:rsidRDefault="004B417C" w:rsidP="000C4FE6">
      <w:pPr>
        <w:pStyle w:val="BodyTextIndent3"/>
        <w:spacing w:line="240" w:lineRule="auto"/>
        <w:ind w:left="0"/>
        <w:rPr>
          <w:lang w:val="el-GR"/>
        </w:rPr>
      </w:pPr>
    </w:p>
    <w:p w:rsidR="004B417C" w:rsidRPr="00FE0DAF" w:rsidRDefault="004B417C" w:rsidP="00913F06">
      <w:pPr>
        <w:pStyle w:val="BodyTextIndent3"/>
        <w:spacing w:line="240" w:lineRule="auto"/>
        <w:ind w:left="0"/>
        <w:rPr>
          <w:lang w:val="el-GR"/>
        </w:rPr>
      </w:pPr>
      <w:r w:rsidRPr="005A32E5">
        <w:rPr>
          <w:lang w:val="el-GR"/>
        </w:rPr>
        <w:t>Τα ακίνητα επενδύσεων αφορούν κυρίως οικόπεδα κ</w:t>
      </w:r>
      <w:r w:rsidR="0008366C">
        <w:rPr>
          <w:lang w:val="el-GR"/>
        </w:rPr>
        <w:t>αι κτίρια  των : ΑΕΓΕΚ ,ΑΛΤΕ, ΑΤΤΙ-ΚΑΤ, ΓΥΑΛΙΣΚΑΡΙ ΑΞΤΕ, ΚΛΙΜΑΤΑΙΡ</w:t>
      </w:r>
      <w:r w:rsidRPr="005A32E5">
        <w:rPr>
          <w:lang w:val="el-GR"/>
        </w:rPr>
        <w:t xml:space="preserve">, </w:t>
      </w:r>
      <w:r w:rsidRPr="005A32E5">
        <w:t>ALTEC</w:t>
      </w:r>
      <w:r w:rsidR="0008366C">
        <w:rPr>
          <w:lang w:val="el-GR"/>
        </w:rPr>
        <w:t xml:space="preserve"> </w:t>
      </w:r>
      <w:r w:rsidRPr="005A32E5">
        <w:rPr>
          <w:lang w:val="el-GR"/>
        </w:rPr>
        <w:t>κ.λ.π  για τα οποία η Εταιρεία είχε συμβάσεις χρηματοδοτικής μίσθωσης τις οποίες και κατήγγειλε. Τα ακίνητα αυτά τα κατηγοριοποίησε ως ακίνητα επενδύσεων καθώς η εταιρεία έχει ως πρόθεση της εκμετάλλευσής τους.</w:t>
      </w:r>
    </w:p>
    <w:p w:rsidR="004B417C" w:rsidRPr="00E0336E"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b/>
          <w:szCs w:val="22"/>
          <w:lang w:val="el-GR"/>
        </w:rPr>
      </w:pPr>
    </w:p>
    <w:p w:rsidR="004370C5" w:rsidRDefault="004370C5" w:rsidP="00FB2EA9">
      <w:pPr>
        <w:pStyle w:val="Heading1"/>
        <w:keepLines/>
        <w:shd w:val="clear" w:color="auto" w:fill="auto"/>
        <w:spacing w:before="130" w:line="280" w:lineRule="atLeast"/>
        <w:rPr>
          <w:szCs w:val="22"/>
          <w:lang w:val="el-GR"/>
        </w:rPr>
      </w:pPr>
    </w:p>
    <w:p w:rsidR="004370C5" w:rsidRDefault="004370C5" w:rsidP="00FB2EA9">
      <w:pPr>
        <w:pStyle w:val="Heading1"/>
        <w:keepLines/>
        <w:shd w:val="clear" w:color="auto" w:fill="auto"/>
        <w:spacing w:before="130" w:line="280" w:lineRule="atLeast"/>
        <w:rPr>
          <w:szCs w:val="22"/>
          <w:lang w:val="el-GR"/>
        </w:rPr>
      </w:pPr>
    </w:p>
    <w:p w:rsidR="004370C5" w:rsidRDefault="004370C5" w:rsidP="00FB2EA9">
      <w:pPr>
        <w:pStyle w:val="Heading1"/>
        <w:keepLines/>
        <w:shd w:val="clear" w:color="auto" w:fill="auto"/>
        <w:spacing w:before="130" w:line="280" w:lineRule="atLeast"/>
        <w:rPr>
          <w:szCs w:val="22"/>
          <w:lang w:val="el-GR"/>
        </w:rPr>
      </w:pPr>
    </w:p>
    <w:p w:rsidR="004370C5" w:rsidRDefault="004370C5" w:rsidP="004370C5">
      <w:pPr>
        <w:rPr>
          <w:lang w:val="el-GR"/>
        </w:rPr>
      </w:pPr>
    </w:p>
    <w:p w:rsidR="004370C5" w:rsidRDefault="004370C5" w:rsidP="004370C5">
      <w:pPr>
        <w:rPr>
          <w:lang w:val="el-GR"/>
        </w:rPr>
      </w:pPr>
    </w:p>
    <w:p w:rsidR="004370C5" w:rsidRPr="004370C5" w:rsidRDefault="004370C5" w:rsidP="004370C5">
      <w:pPr>
        <w:rPr>
          <w:lang w:val="el-GR"/>
        </w:rPr>
      </w:pPr>
    </w:p>
    <w:p w:rsidR="004B417C" w:rsidRPr="006B1B03" w:rsidRDefault="004B417C" w:rsidP="00FB2EA9">
      <w:pPr>
        <w:pStyle w:val="Heading1"/>
        <w:keepLines/>
        <w:shd w:val="clear" w:color="auto" w:fill="auto"/>
        <w:spacing w:before="130" w:line="280" w:lineRule="atLeast"/>
        <w:rPr>
          <w:szCs w:val="22"/>
          <w:lang w:val="el-GR"/>
        </w:rPr>
      </w:pPr>
      <w:r w:rsidRPr="00915E21">
        <w:rPr>
          <w:szCs w:val="22"/>
          <w:lang w:val="el-GR"/>
        </w:rPr>
        <w:lastRenderedPageBreak/>
        <w:t>1</w:t>
      </w:r>
      <w:r>
        <w:rPr>
          <w:szCs w:val="22"/>
          <w:lang w:val="el-GR"/>
        </w:rPr>
        <w:t>4</w:t>
      </w:r>
      <w:r w:rsidRPr="00915E21">
        <w:rPr>
          <w:szCs w:val="22"/>
          <w:lang w:val="el-GR"/>
        </w:rPr>
        <w:t xml:space="preserve"> </w:t>
      </w:r>
      <w:r w:rsidRPr="006B1B03">
        <w:rPr>
          <w:szCs w:val="22"/>
          <w:lang w:val="el-GR"/>
        </w:rPr>
        <w:t>Λοιπές απαιτήσεις</w:t>
      </w:r>
    </w:p>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17"/>
          <w:lang w:val="el-GR"/>
        </w:rPr>
      </w:pPr>
    </w:p>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17"/>
          <w:lang w:val="el-GR"/>
        </w:rPr>
      </w:pPr>
      <w:r>
        <w:rPr>
          <w:szCs w:val="17"/>
          <w:lang w:val="el-GR"/>
        </w:rPr>
        <w:t>Οι λοιπές απαιτήσεις της Εταιρείας παρατίθενται στον παρακάτω πίνακα:</w:t>
      </w:r>
    </w:p>
    <w:tbl>
      <w:tblPr>
        <w:tblW w:w="0" w:type="auto"/>
        <w:tblInd w:w="108" w:type="dxa"/>
        <w:tblLayout w:type="fixed"/>
        <w:tblLook w:val="0000"/>
      </w:tblPr>
      <w:tblGrid>
        <w:gridCol w:w="5400"/>
        <w:gridCol w:w="979"/>
        <w:gridCol w:w="254"/>
        <w:gridCol w:w="1276"/>
      </w:tblGrid>
      <w:tr w:rsidR="004B417C">
        <w:trPr>
          <w:trHeight w:hRule="exact" w:val="397"/>
        </w:trPr>
        <w:tc>
          <w:tcPr>
            <w:tcW w:w="5400" w:type="dxa"/>
            <w:vAlign w:val="center"/>
          </w:tcPr>
          <w:p w:rsidR="004B417C" w:rsidRDefault="004B417C">
            <w:pPr>
              <w:spacing w:line="240" w:lineRule="auto"/>
              <w:jc w:val="both"/>
              <w:rPr>
                <w:lang w:val="el-GR"/>
              </w:rPr>
            </w:pPr>
          </w:p>
        </w:tc>
        <w:tc>
          <w:tcPr>
            <w:tcW w:w="979" w:type="dxa"/>
            <w:tcBorders>
              <w:bottom w:val="single" w:sz="4" w:space="0" w:color="auto"/>
            </w:tcBorders>
            <w:vAlign w:val="center"/>
          </w:tcPr>
          <w:p w:rsidR="004B417C" w:rsidRPr="007D0150" w:rsidRDefault="004B417C">
            <w:pPr>
              <w:spacing w:line="240" w:lineRule="auto"/>
              <w:jc w:val="right"/>
              <w:rPr>
                <w:b/>
                <w:lang w:val="el-GR"/>
              </w:rPr>
            </w:pPr>
            <w:r>
              <w:rPr>
                <w:b/>
                <w:lang w:val="el-GR"/>
              </w:rPr>
              <w:t>2012</w:t>
            </w:r>
          </w:p>
        </w:tc>
        <w:tc>
          <w:tcPr>
            <w:tcW w:w="254" w:type="dxa"/>
            <w:vAlign w:val="center"/>
          </w:tcPr>
          <w:p w:rsidR="004B417C" w:rsidRDefault="004B417C">
            <w:pPr>
              <w:spacing w:line="240" w:lineRule="auto"/>
              <w:jc w:val="right"/>
              <w:rPr>
                <w:b/>
                <w:lang w:val="el-GR"/>
              </w:rPr>
            </w:pPr>
          </w:p>
        </w:tc>
        <w:tc>
          <w:tcPr>
            <w:tcW w:w="1276" w:type="dxa"/>
            <w:tcBorders>
              <w:bottom w:val="single" w:sz="4" w:space="0" w:color="auto"/>
            </w:tcBorders>
            <w:vAlign w:val="center"/>
          </w:tcPr>
          <w:p w:rsidR="004B417C" w:rsidRDefault="004B417C">
            <w:pPr>
              <w:spacing w:line="240" w:lineRule="auto"/>
              <w:jc w:val="right"/>
              <w:rPr>
                <w:b/>
                <w:lang w:val="el-GR"/>
              </w:rPr>
            </w:pPr>
            <w:r>
              <w:rPr>
                <w:b/>
                <w:lang w:val="el-GR"/>
              </w:rPr>
              <w:t>2011</w:t>
            </w:r>
          </w:p>
        </w:tc>
      </w:tr>
      <w:tr w:rsidR="004B417C">
        <w:trPr>
          <w:trHeight w:hRule="exact" w:val="296"/>
        </w:trPr>
        <w:tc>
          <w:tcPr>
            <w:tcW w:w="5400" w:type="dxa"/>
            <w:vAlign w:val="bottom"/>
          </w:tcPr>
          <w:p w:rsidR="004B417C" w:rsidRPr="00C92900" w:rsidRDefault="004B417C">
            <w:pPr>
              <w:jc w:val="both"/>
              <w:rPr>
                <w:szCs w:val="22"/>
                <w:lang w:val="el-GR"/>
              </w:rPr>
            </w:pPr>
            <w:r>
              <w:rPr>
                <w:szCs w:val="22"/>
                <w:lang w:val="el-GR"/>
              </w:rPr>
              <w:t>Αυτοκίνητα προς πώληση</w:t>
            </w:r>
          </w:p>
        </w:tc>
        <w:tc>
          <w:tcPr>
            <w:tcW w:w="979" w:type="dxa"/>
            <w:vAlign w:val="bottom"/>
          </w:tcPr>
          <w:p w:rsidR="004B417C" w:rsidRPr="006C78E2" w:rsidRDefault="004B417C">
            <w:pPr>
              <w:jc w:val="right"/>
              <w:rPr>
                <w:szCs w:val="22"/>
                <w:lang w:val="el-GR"/>
              </w:rPr>
            </w:pPr>
            <w:r>
              <w:rPr>
                <w:szCs w:val="22"/>
                <w:lang w:val="el-GR"/>
              </w:rPr>
              <w:t>154</w:t>
            </w:r>
          </w:p>
        </w:tc>
        <w:tc>
          <w:tcPr>
            <w:tcW w:w="254" w:type="dxa"/>
            <w:vAlign w:val="center"/>
          </w:tcPr>
          <w:p w:rsidR="004B417C" w:rsidRDefault="004B417C">
            <w:pPr>
              <w:spacing w:line="240" w:lineRule="auto"/>
              <w:jc w:val="right"/>
              <w:rPr>
                <w:lang w:val="el-GR"/>
              </w:rPr>
            </w:pPr>
          </w:p>
        </w:tc>
        <w:tc>
          <w:tcPr>
            <w:tcW w:w="1276" w:type="dxa"/>
            <w:vAlign w:val="bottom"/>
          </w:tcPr>
          <w:p w:rsidR="004B417C" w:rsidRDefault="004B417C">
            <w:pPr>
              <w:jc w:val="right"/>
              <w:rPr>
                <w:szCs w:val="22"/>
                <w:lang w:val="el-GR"/>
              </w:rPr>
            </w:pPr>
            <w:r>
              <w:rPr>
                <w:szCs w:val="22"/>
                <w:lang w:val="el-GR"/>
              </w:rPr>
              <w:t>535</w:t>
            </w:r>
          </w:p>
        </w:tc>
      </w:tr>
      <w:tr w:rsidR="004B417C">
        <w:trPr>
          <w:trHeight w:hRule="exact" w:val="296"/>
        </w:trPr>
        <w:tc>
          <w:tcPr>
            <w:tcW w:w="5400" w:type="dxa"/>
            <w:vAlign w:val="bottom"/>
          </w:tcPr>
          <w:p w:rsidR="004B417C" w:rsidRDefault="004B417C">
            <w:pPr>
              <w:jc w:val="both"/>
              <w:rPr>
                <w:szCs w:val="22"/>
                <w:lang w:val="el-GR"/>
              </w:rPr>
            </w:pPr>
            <w:r>
              <w:rPr>
                <w:szCs w:val="22"/>
                <w:lang w:val="el-GR"/>
              </w:rPr>
              <w:t>Προκαταβολές φόρων και λοιπές απαιτήσεις από φόρους</w:t>
            </w:r>
          </w:p>
        </w:tc>
        <w:tc>
          <w:tcPr>
            <w:tcW w:w="979" w:type="dxa"/>
            <w:vAlign w:val="bottom"/>
          </w:tcPr>
          <w:p w:rsidR="004B417C" w:rsidRPr="00A349E3" w:rsidRDefault="004B417C">
            <w:pPr>
              <w:jc w:val="right"/>
              <w:rPr>
                <w:szCs w:val="22"/>
                <w:lang w:val="el-GR"/>
              </w:rPr>
            </w:pPr>
            <w:r>
              <w:rPr>
                <w:szCs w:val="22"/>
                <w:lang w:val="el-GR"/>
              </w:rPr>
              <w:t>7.600</w:t>
            </w:r>
          </w:p>
        </w:tc>
        <w:tc>
          <w:tcPr>
            <w:tcW w:w="254" w:type="dxa"/>
            <w:vAlign w:val="center"/>
          </w:tcPr>
          <w:p w:rsidR="004B417C" w:rsidRDefault="004B417C">
            <w:pPr>
              <w:spacing w:line="240" w:lineRule="auto"/>
              <w:jc w:val="right"/>
              <w:rPr>
                <w:lang w:val="el-GR"/>
              </w:rPr>
            </w:pPr>
          </w:p>
        </w:tc>
        <w:tc>
          <w:tcPr>
            <w:tcW w:w="1276" w:type="dxa"/>
            <w:vAlign w:val="bottom"/>
          </w:tcPr>
          <w:p w:rsidR="004B417C" w:rsidRDefault="004B417C">
            <w:pPr>
              <w:jc w:val="right"/>
              <w:rPr>
                <w:szCs w:val="22"/>
              </w:rPr>
            </w:pPr>
            <w:r>
              <w:rPr>
                <w:szCs w:val="22"/>
                <w:lang w:val="el-GR"/>
              </w:rPr>
              <w:t>1.875</w:t>
            </w:r>
          </w:p>
        </w:tc>
      </w:tr>
      <w:tr w:rsidR="004B417C">
        <w:trPr>
          <w:trHeight w:hRule="exact" w:val="340"/>
        </w:trPr>
        <w:tc>
          <w:tcPr>
            <w:tcW w:w="5400" w:type="dxa"/>
            <w:vAlign w:val="bottom"/>
          </w:tcPr>
          <w:p w:rsidR="004B417C" w:rsidRDefault="004B417C">
            <w:pPr>
              <w:jc w:val="both"/>
              <w:rPr>
                <w:szCs w:val="22"/>
              </w:rPr>
            </w:pPr>
            <w:r>
              <w:rPr>
                <w:szCs w:val="22"/>
                <w:lang w:val="el-GR"/>
              </w:rPr>
              <w:t>Δεδουλευμένοι τόκοι</w:t>
            </w:r>
          </w:p>
        </w:tc>
        <w:tc>
          <w:tcPr>
            <w:tcW w:w="979" w:type="dxa"/>
            <w:vAlign w:val="bottom"/>
          </w:tcPr>
          <w:p w:rsidR="004B417C" w:rsidRPr="00A349E3" w:rsidRDefault="004B417C">
            <w:pPr>
              <w:jc w:val="right"/>
              <w:rPr>
                <w:szCs w:val="22"/>
                <w:lang w:val="el-GR"/>
              </w:rPr>
            </w:pPr>
            <w:r>
              <w:rPr>
                <w:szCs w:val="22"/>
                <w:lang w:val="el-GR"/>
              </w:rPr>
              <w:t>352</w:t>
            </w:r>
          </w:p>
        </w:tc>
        <w:tc>
          <w:tcPr>
            <w:tcW w:w="254" w:type="dxa"/>
            <w:vAlign w:val="center"/>
          </w:tcPr>
          <w:p w:rsidR="004B417C" w:rsidRDefault="004B417C">
            <w:pPr>
              <w:spacing w:line="240" w:lineRule="auto"/>
              <w:jc w:val="right"/>
              <w:rPr>
                <w:lang w:val="el-GR"/>
              </w:rPr>
            </w:pPr>
          </w:p>
        </w:tc>
        <w:tc>
          <w:tcPr>
            <w:tcW w:w="1276" w:type="dxa"/>
            <w:vAlign w:val="bottom"/>
          </w:tcPr>
          <w:p w:rsidR="004B417C" w:rsidRDefault="004B417C">
            <w:pPr>
              <w:jc w:val="right"/>
              <w:rPr>
                <w:szCs w:val="22"/>
              </w:rPr>
            </w:pPr>
            <w:r>
              <w:rPr>
                <w:szCs w:val="22"/>
                <w:lang w:val="el-GR"/>
              </w:rPr>
              <w:t>295</w:t>
            </w:r>
          </w:p>
        </w:tc>
      </w:tr>
      <w:tr w:rsidR="004B417C">
        <w:trPr>
          <w:trHeight w:hRule="exact" w:val="340"/>
        </w:trPr>
        <w:tc>
          <w:tcPr>
            <w:tcW w:w="5400" w:type="dxa"/>
            <w:vAlign w:val="bottom"/>
          </w:tcPr>
          <w:p w:rsidR="004B417C" w:rsidRDefault="004B417C">
            <w:pPr>
              <w:jc w:val="both"/>
              <w:rPr>
                <w:szCs w:val="22"/>
              </w:rPr>
            </w:pPr>
            <w:r>
              <w:rPr>
                <w:szCs w:val="22"/>
                <w:lang w:val="el-GR"/>
              </w:rPr>
              <w:t>Προπληρωθέντα έξοδα</w:t>
            </w:r>
          </w:p>
        </w:tc>
        <w:tc>
          <w:tcPr>
            <w:tcW w:w="979" w:type="dxa"/>
            <w:vAlign w:val="bottom"/>
          </w:tcPr>
          <w:p w:rsidR="004B417C" w:rsidRPr="00A349E3" w:rsidRDefault="004B417C">
            <w:pPr>
              <w:jc w:val="right"/>
              <w:rPr>
                <w:szCs w:val="22"/>
                <w:lang w:val="el-GR"/>
              </w:rPr>
            </w:pPr>
            <w:r>
              <w:rPr>
                <w:szCs w:val="22"/>
                <w:lang w:val="el-GR"/>
              </w:rPr>
              <w:t>689</w:t>
            </w:r>
          </w:p>
        </w:tc>
        <w:tc>
          <w:tcPr>
            <w:tcW w:w="254" w:type="dxa"/>
            <w:vAlign w:val="center"/>
          </w:tcPr>
          <w:p w:rsidR="004B417C" w:rsidRDefault="004B417C">
            <w:pPr>
              <w:spacing w:line="240" w:lineRule="auto"/>
              <w:jc w:val="right"/>
              <w:rPr>
                <w:lang w:val="el-GR"/>
              </w:rPr>
            </w:pPr>
          </w:p>
        </w:tc>
        <w:tc>
          <w:tcPr>
            <w:tcW w:w="1276" w:type="dxa"/>
            <w:vAlign w:val="bottom"/>
          </w:tcPr>
          <w:p w:rsidR="004B417C" w:rsidRDefault="004B417C">
            <w:pPr>
              <w:jc w:val="right"/>
              <w:rPr>
                <w:szCs w:val="22"/>
              </w:rPr>
            </w:pPr>
            <w:r>
              <w:rPr>
                <w:szCs w:val="22"/>
                <w:lang w:val="el-GR"/>
              </w:rPr>
              <w:t>865</w:t>
            </w:r>
          </w:p>
        </w:tc>
      </w:tr>
      <w:tr w:rsidR="004B417C">
        <w:trPr>
          <w:trHeight w:hRule="exact" w:val="340"/>
        </w:trPr>
        <w:tc>
          <w:tcPr>
            <w:tcW w:w="5400" w:type="dxa"/>
            <w:vAlign w:val="bottom"/>
          </w:tcPr>
          <w:p w:rsidR="004B417C" w:rsidRDefault="004B417C">
            <w:pPr>
              <w:jc w:val="both"/>
              <w:rPr>
                <w:szCs w:val="22"/>
              </w:rPr>
            </w:pPr>
            <w:r>
              <w:rPr>
                <w:szCs w:val="22"/>
                <w:lang w:val="el-GR"/>
              </w:rPr>
              <w:t>Χρεώστες διάφοροι</w:t>
            </w:r>
          </w:p>
        </w:tc>
        <w:tc>
          <w:tcPr>
            <w:tcW w:w="979" w:type="dxa"/>
            <w:vAlign w:val="bottom"/>
          </w:tcPr>
          <w:p w:rsidR="004B417C" w:rsidRPr="00A349E3" w:rsidRDefault="004B417C">
            <w:pPr>
              <w:jc w:val="right"/>
              <w:rPr>
                <w:szCs w:val="22"/>
                <w:lang w:val="el-GR"/>
              </w:rPr>
            </w:pPr>
            <w:r>
              <w:rPr>
                <w:szCs w:val="22"/>
                <w:lang w:val="el-GR"/>
              </w:rPr>
              <w:t>5.775</w:t>
            </w:r>
          </w:p>
        </w:tc>
        <w:tc>
          <w:tcPr>
            <w:tcW w:w="254" w:type="dxa"/>
            <w:vAlign w:val="center"/>
          </w:tcPr>
          <w:p w:rsidR="004B417C" w:rsidRDefault="004B417C">
            <w:pPr>
              <w:spacing w:line="240" w:lineRule="auto"/>
              <w:jc w:val="right"/>
              <w:rPr>
                <w:lang w:val="el-GR"/>
              </w:rPr>
            </w:pPr>
          </w:p>
        </w:tc>
        <w:tc>
          <w:tcPr>
            <w:tcW w:w="1276" w:type="dxa"/>
            <w:vAlign w:val="bottom"/>
          </w:tcPr>
          <w:p w:rsidR="004B417C" w:rsidRDefault="00151A05">
            <w:pPr>
              <w:jc w:val="right"/>
              <w:rPr>
                <w:szCs w:val="22"/>
              </w:rPr>
            </w:pPr>
            <w:r>
              <w:rPr>
                <w:szCs w:val="22"/>
                <w:lang w:val="el-GR"/>
              </w:rPr>
              <w:t>433</w:t>
            </w:r>
          </w:p>
        </w:tc>
      </w:tr>
      <w:tr w:rsidR="004B417C">
        <w:trPr>
          <w:trHeight w:hRule="exact" w:val="340"/>
        </w:trPr>
        <w:tc>
          <w:tcPr>
            <w:tcW w:w="5400" w:type="dxa"/>
            <w:vAlign w:val="bottom"/>
          </w:tcPr>
          <w:p w:rsidR="004B417C" w:rsidRDefault="004B417C">
            <w:pPr>
              <w:jc w:val="both"/>
              <w:rPr>
                <w:szCs w:val="22"/>
                <w:lang w:val="el-GR"/>
              </w:rPr>
            </w:pPr>
            <w:r>
              <w:rPr>
                <w:szCs w:val="22"/>
                <w:lang w:val="el-GR"/>
              </w:rPr>
              <w:t>Λοιπές απαιτήσεις έναντι του Δημοσίου</w:t>
            </w:r>
          </w:p>
        </w:tc>
        <w:tc>
          <w:tcPr>
            <w:tcW w:w="979" w:type="dxa"/>
            <w:vAlign w:val="bottom"/>
          </w:tcPr>
          <w:p w:rsidR="004B417C" w:rsidRPr="009137CD" w:rsidRDefault="004B417C">
            <w:pPr>
              <w:jc w:val="right"/>
              <w:rPr>
                <w:szCs w:val="22"/>
              </w:rPr>
            </w:pPr>
            <w:r>
              <w:rPr>
                <w:szCs w:val="22"/>
              </w:rPr>
              <w:t>51</w:t>
            </w:r>
          </w:p>
        </w:tc>
        <w:tc>
          <w:tcPr>
            <w:tcW w:w="254" w:type="dxa"/>
            <w:vAlign w:val="center"/>
          </w:tcPr>
          <w:p w:rsidR="004B417C" w:rsidRDefault="004B417C">
            <w:pPr>
              <w:spacing w:line="240" w:lineRule="auto"/>
              <w:jc w:val="right"/>
              <w:rPr>
                <w:lang w:val="el-GR"/>
              </w:rPr>
            </w:pPr>
          </w:p>
        </w:tc>
        <w:tc>
          <w:tcPr>
            <w:tcW w:w="1276" w:type="dxa"/>
            <w:vAlign w:val="bottom"/>
          </w:tcPr>
          <w:p w:rsidR="004B417C" w:rsidRDefault="004B417C">
            <w:pPr>
              <w:jc w:val="right"/>
              <w:rPr>
                <w:szCs w:val="22"/>
              </w:rPr>
            </w:pPr>
            <w:r>
              <w:rPr>
                <w:szCs w:val="22"/>
                <w:lang w:val="el-GR"/>
              </w:rPr>
              <w:t>51</w:t>
            </w:r>
          </w:p>
        </w:tc>
      </w:tr>
      <w:tr w:rsidR="004B417C">
        <w:trPr>
          <w:trHeight w:val="287"/>
        </w:trPr>
        <w:tc>
          <w:tcPr>
            <w:tcW w:w="5400" w:type="dxa"/>
            <w:vAlign w:val="bottom"/>
          </w:tcPr>
          <w:p w:rsidR="004B417C" w:rsidRDefault="004B417C">
            <w:pPr>
              <w:jc w:val="both"/>
              <w:rPr>
                <w:szCs w:val="22"/>
              </w:rPr>
            </w:pPr>
            <w:r>
              <w:rPr>
                <w:szCs w:val="22"/>
                <w:lang w:val="el-GR"/>
              </w:rPr>
              <w:t>Εγγυήσεις</w:t>
            </w:r>
          </w:p>
        </w:tc>
        <w:tc>
          <w:tcPr>
            <w:tcW w:w="979" w:type="dxa"/>
            <w:tcBorders>
              <w:bottom w:val="single" w:sz="4" w:space="0" w:color="auto"/>
            </w:tcBorders>
            <w:vAlign w:val="bottom"/>
          </w:tcPr>
          <w:p w:rsidR="004B417C" w:rsidRPr="006C78E2" w:rsidRDefault="004B417C">
            <w:pPr>
              <w:jc w:val="right"/>
              <w:rPr>
                <w:szCs w:val="22"/>
                <w:lang w:val="el-GR"/>
              </w:rPr>
            </w:pPr>
            <w:r>
              <w:rPr>
                <w:szCs w:val="22"/>
                <w:lang w:val="el-GR"/>
              </w:rPr>
              <w:t>34</w:t>
            </w:r>
          </w:p>
        </w:tc>
        <w:tc>
          <w:tcPr>
            <w:tcW w:w="254" w:type="dxa"/>
            <w:vAlign w:val="center"/>
          </w:tcPr>
          <w:p w:rsidR="004B417C" w:rsidRDefault="004B417C">
            <w:pPr>
              <w:spacing w:line="240" w:lineRule="auto"/>
              <w:jc w:val="right"/>
              <w:rPr>
                <w:lang w:val="el-GR"/>
              </w:rPr>
            </w:pPr>
          </w:p>
        </w:tc>
        <w:tc>
          <w:tcPr>
            <w:tcW w:w="1276" w:type="dxa"/>
            <w:tcBorders>
              <w:bottom w:val="single" w:sz="4" w:space="0" w:color="auto"/>
            </w:tcBorders>
            <w:vAlign w:val="bottom"/>
          </w:tcPr>
          <w:p w:rsidR="004B417C" w:rsidRDefault="004B417C">
            <w:pPr>
              <w:jc w:val="right"/>
              <w:rPr>
                <w:szCs w:val="22"/>
              </w:rPr>
            </w:pPr>
            <w:r>
              <w:rPr>
                <w:szCs w:val="22"/>
                <w:lang w:val="el-GR"/>
              </w:rPr>
              <w:t>20</w:t>
            </w:r>
          </w:p>
        </w:tc>
      </w:tr>
      <w:tr w:rsidR="004B417C">
        <w:trPr>
          <w:trHeight w:hRule="exact" w:val="340"/>
        </w:trPr>
        <w:tc>
          <w:tcPr>
            <w:tcW w:w="5400" w:type="dxa"/>
            <w:vAlign w:val="center"/>
          </w:tcPr>
          <w:p w:rsidR="004B417C" w:rsidRDefault="004B417C">
            <w:pPr>
              <w:spacing w:line="240" w:lineRule="auto"/>
              <w:jc w:val="both"/>
              <w:rPr>
                <w:lang w:val="el-GR"/>
              </w:rPr>
            </w:pPr>
          </w:p>
        </w:tc>
        <w:tc>
          <w:tcPr>
            <w:tcW w:w="979" w:type="dxa"/>
            <w:tcBorders>
              <w:top w:val="single" w:sz="4" w:space="0" w:color="auto"/>
              <w:bottom w:val="double" w:sz="4" w:space="0" w:color="auto"/>
            </w:tcBorders>
            <w:vAlign w:val="center"/>
          </w:tcPr>
          <w:p w:rsidR="004B417C" w:rsidRPr="00A349E3" w:rsidRDefault="004B417C">
            <w:pPr>
              <w:spacing w:line="240" w:lineRule="auto"/>
              <w:jc w:val="right"/>
              <w:rPr>
                <w:b/>
                <w:bCs/>
                <w:lang w:val="el-GR"/>
              </w:rPr>
            </w:pPr>
            <w:r>
              <w:rPr>
                <w:b/>
                <w:bCs/>
                <w:lang w:val="el-GR"/>
              </w:rPr>
              <w:t>14.656</w:t>
            </w:r>
          </w:p>
        </w:tc>
        <w:tc>
          <w:tcPr>
            <w:tcW w:w="254" w:type="dxa"/>
            <w:vAlign w:val="center"/>
          </w:tcPr>
          <w:p w:rsidR="004B417C" w:rsidRDefault="004B417C">
            <w:pPr>
              <w:spacing w:line="240" w:lineRule="auto"/>
              <w:jc w:val="right"/>
              <w:rPr>
                <w:b/>
                <w:bCs/>
                <w:lang w:val="el-GR"/>
              </w:rPr>
            </w:pPr>
          </w:p>
        </w:tc>
        <w:tc>
          <w:tcPr>
            <w:tcW w:w="1276" w:type="dxa"/>
            <w:tcBorders>
              <w:top w:val="single" w:sz="4" w:space="0" w:color="auto"/>
              <w:bottom w:val="double" w:sz="4" w:space="0" w:color="auto"/>
            </w:tcBorders>
            <w:vAlign w:val="center"/>
          </w:tcPr>
          <w:p w:rsidR="004B417C" w:rsidRDefault="00151A05">
            <w:pPr>
              <w:spacing w:line="240" w:lineRule="auto"/>
              <w:jc w:val="right"/>
              <w:rPr>
                <w:b/>
                <w:bCs/>
                <w:lang w:val="el-GR"/>
              </w:rPr>
            </w:pPr>
            <w:r>
              <w:rPr>
                <w:b/>
                <w:bCs/>
                <w:lang w:val="el-GR"/>
              </w:rPr>
              <w:t>4.074</w:t>
            </w:r>
          </w:p>
        </w:tc>
      </w:tr>
    </w:tbl>
    <w:p w:rsidR="007E1BAD" w:rsidRDefault="007E1BAD" w:rsidP="008706D3">
      <w:pPr>
        <w:pStyle w:val="Heading1"/>
        <w:keepLines/>
        <w:shd w:val="clear" w:color="auto" w:fill="auto"/>
        <w:spacing w:before="130" w:line="280" w:lineRule="atLeast"/>
        <w:rPr>
          <w:szCs w:val="22"/>
          <w:lang w:val="el-GR"/>
        </w:rPr>
      </w:pPr>
    </w:p>
    <w:p w:rsidR="004B417C" w:rsidRPr="006B1B03" w:rsidRDefault="004B417C" w:rsidP="008706D3">
      <w:pPr>
        <w:pStyle w:val="Heading1"/>
        <w:keepLines/>
        <w:shd w:val="clear" w:color="auto" w:fill="auto"/>
        <w:spacing w:before="130" w:line="280" w:lineRule="atLeast"/>
        <w:rPr>
          <w:szCs w:val="22"/>
          <w:lang w:val="el-GR"/>
        </w:rPr>
      </w:pPr>
      <w:r>
        <w:rPr>
          <w:szCs w:val="22"/>
        </w:rPr>
        <w:t>1</w:t>
      </w:r>
      <w:r>
        <w:rPr>
          <w:szCs w:val="22"/>
          <w:lang w:val="el-GR"/>
        </w:rPr>
        <w:t>5</w:t>
      </w:r>
      <w:r>
        <w:rPr>
          <w:szCs w:val="22"/>
        </w:rPr>
        <w:t xml:space="preserve"> </w:t>
      </w:r>
      <w:r w:rsidRPr="006B1B03">
        <w:rPr>
          <w:szCs w:val="22"/>
          <w:lang w:val="el-GR"/>
        </w:rPr>
        <w:t>Ομολογιακά δάνεια</w:t>
      </w:r>
    </w:p>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lang w:val="el-GR"/>
        </w:rPr>
      </w:pPr>
    </w:p>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lang w:val="el-GR"/>
        </w:rPr>
      </w:pPr>
      <w:r>
        <w:rPr>
          <w:lang w:val="el-GR"/>
        </w:rPr>
        <w:t xml:space="preserve">Τα ομολογιακά δάνεια που έχει εκδώσει η εταιρεία αναλύονται ως εξής: </w:t>
      </w:r>
    </w:p>
    <w:p w:rsidR="004B417C" w:rsidRPr="000F31F7"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lang w:val="el-GR"/>
        </w:rPr>
      </w:pPr>
    </w:p>
    <w:tbl>
      <w:tblPr>
        <w:tblpPr w:leftFromText="180" w:rightFromText="180" w:vertAnchor="text" w:horzAnchor="margin" w:tblpXSpec="center" w:tblpY="41"/>
        <w:tblW w:w="8456" w:type="dxa"/>
        <w:tblLook w:val="0000"/>
      </w:tblPr>
      <w:tblGrid>
        <w:gridCol w:w="1728"/>
        <w:gridCol w:w="1078"/>
        <w:gridCol w:w="1268"/>
        <w:gridCol w:w="1268"/>
        <w:gridCol w:w="1854"/>
        <w:gridCol w:w="1260"/>
      </w:tblGrid>
      <w:tr w:rsidR="004B417C" w:rsidRPr="000F31F7">
        <w:trPr>
          <w:trHeight w:val="300"/>
        </w:trPr>
        <w:tc>
          <w:tcPr>
            <w:tcW w:w="8456" w:type="dxa"/>
            <w:gridSpan w:val="6"/>
            <w:vAlign w:val="bottom"/>
          </w:tcPr>
          <w:p w:rsidR="004B417C" w:rsidRPr="00C62A87" w:rsidRDefault="004B417C" w:rsidP="00EA6C7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center"/>
              <w:rPr>
                <w:b/>
                <w:bCs/>
                <w:sz w:val="20"/>
                <w:lang w:val="el-GR"/>
              </w:rPr>
            </w:pPr>
            <w:r w:rsidRPr="000F31F7">
              <w:rPr>
                <w:b/>
                <w:bCs/>
                <w:sz w:val="20"/>
                <w:lang w:val="el-GR"/>
              </w:rPr>
              <w:t>201</w:t>
            </w:r>
            <w:r>
              <w:rPr>
                <w:b/>
                <w:bCs/>
                <w:sz w:val="20"/>
                <w:lang w:val="el-GR"/>
              </w:rPr>
              <w:t>2</w:t>
            </w:r>
          </w:p>
        </w:tc>
      </w:tr>
      <w:tr w:rsidR="004B417C" w:rsidRPr="000F31F7">
        <w:trPr>
          <w:trHeight w:val="300"/>
        </w:trPr>
        <w:tc>
          <w:tcPr>
            <w:tcW w:w="1728" w:type="dxa"/>
            <w:vAlign w:val="bottom"/>
          </w:tcPr>
          <w:p w:rsidR="004B417C" w:rsidRPr="000F31F7"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both"/>
              <w:rPr>
                <w:szCs w:val="22"/>
                <w:lang w:val="el-GR"/>
              </w:rPr>
            </w:pPr>
          </w:p>
        </w:tc>
        <w:tc>
          <w:tcPr>
            <w:tcW w:w="1078" w:type="dxa"/>
            <w:noWrap/>
            <w:vAlign w:val="bottom"/>
          </w:tcPr>
          <w:p w:rsidR="004B417C" w:rsidRPr="000F31F7" w:rsidRDefault="004B417C" w:rsidP="00EA6C7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center"/>
              <w:rPr>
                <w:b/>
                <w:bCs/>
                <w:sz w:val="20"/>
              </w:rPr>
            </w:pPr>
            <w:r w:rsidRPr="000F31F7">
              <w:rPr>
                <w:b/>
                <w:bCs/>
                <w:sz w:val="20"/>
              </w:rPr>
              <w:t>Αξία κατά την έκδοση</w:t>
            </w:r>
          </w:p>
        </w:tc>
        <w:tc>
          <w:tcPr>
            <w:tcW w:w="1268" w:type="dxa"/>
            <w:noWrap/>
            <w:vAlign w:val="bottom"/>
          </w:tcPr>
          <w:p w:rsidR="004B417C" w:rsidRPr="000F31F7" w:rsidRDefault="004B417C" w:rsidP="00EA6C7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center"/>
              <w:rPr>
                <w:b/>
                <w:bCs/>
                <w:sz w:val="20"/>
              </w:rPr>
            </w:pPr>
            <w:r w:rsidRPr="000F31F7">
              <w:rPr>
                <w:b/>
                <w:bCs/>
                <w:sz w:val="20"/>
              </w:rPr>
              <w:t>Ημερομηνία έκδοσης</w:t>
            </w:r>
          </w:p>
        </w:tc>
        <w:tc>
          <w:tcPr>
            <w:tcW w:w="1268" w:type="dxa"/>
            <w:noWrap/>
            <w:vAlign w:val="bottom"/>
          </w:tcPr>
          <w:p w:rsidR="004B417C" w:rsidRPr="000F31F7" w:rsidRDefault="004B417C" w:rsidP="00EA6C7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center"/>
              <w:rPr>
                <w:b/>
                <w:bCs/>
                <w:sz w:val="20"/>
              </w:rPr>
            </w:pPr>
            <w:r w:rsidRPr="000F31F7">
              <w:rPr>
                <w:b/>
                <w:bCs/>
                <w:sz w:val="20"/>
              </w:rPr>
              <w:t>Ημερομηνία λήξης</w:t>
            </w:r>
          </w:p>
        </w:tc>
        <w:tc>
          <w:tcPr>
            <w:tcW w:w="1854" w:type="dxa"/>
            <w:noWrap/>
            <w:vAlign w:val="bottom"/>
          </w:tcPr>
          <w:p w:rsidR="004B417C" w:rsidRPr="000F31F7" w:rsidRDefault="004B417C" w:rsidP="00EA6C7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center"/>
              <w:rPr>
                <w:b/>
                <w:bCs/>
                <w:sz w:val="20"/>
              </w:rPr>
            </w:pPr>
            <w:r w:rsidRPr="000F31F7">
              <w:rPr>
                <w:b/>
                <w:bCs/>
                <w:sz w:val="20"/>
              </w:rPr>
              <w:t>Επιτόκιο</w:t>
            </w:r>
          </w:p>
        </w:tc>
        <w:tc>
          <w:tcPr>
            <w:tcW w:w="1260" w:type="dxa"/>
            <w:noWrap/>
            <w:vAlign w:val="bottom"/>
          </w:tcPr>
          <w:p w:rsidR="004B417C" w:rsidRPr="000F31F7" w:rsidRDefault="004B417C" w:rsidP="0059568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center"/>
              <w:rPr>
                <w:b/>
                <w:bCs/>
                <w:sz w:val="20"/>
                <w:lang w:val="el-GR"/>
              </w:rPr>
            </w:pPr>
            <w:r w:rsidRPr="000F31F7">
              <w:rPr>
                <w:b/>
                <w:bCs/>
                <w:sz w:val="20"/>
              </w:rPr>
              <w:t>Αξία κατά την 31</w:t>
            </w:r>
            <w:r w:rsidRPr="000F31F7">
              <w:rPr>
                <w:b/>
                <w:bCs/>
                <w:sz w:val="20"/>
                <w:lang w:val="el-GR"/>
              </w:rPr>
              <w:t>-Δεκ.</w:t>
            </w:r>
          </w:p>
        </w:tc>
      </w:tr>
      <w:tr w:rsidR="004B417C" w:rsidRPr="000F31F7">
        <w:trPr>
          <w:trHeight w:val="300"/>
        </w:trPr>
        <w:tc>
          <w:tcPr>
            <w:tcW w:w="1728" w:type="dxa"/>
            <w:noWrap/>
            <w:vAlign w:val="bottom"/>
          </w:tcPr>
          <w:p w:rsidR="004B417C" w:rsidRPr="000F31F7"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sz w:val="20"/>
              </w:rPr>
            </w:pPr>
          </w:p>
        </w:tc>
        <w:tc>
          <w:tcPr>
            <w:tcW w:w="1078" w:type="dxa"/>
            <w:vAlign w:val="bottom"/>
          </w:tcPr>
          <w:p w:rsidR="004B417C" w:rsidRPr="000F31F7"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Cs w:val="22"/>
              </w:rPr>
            </w:pPr>
          </w:p>
        </w:tc>
        <w:tc>
          <w:tcPr>
            <w:tcW w:w="1268" w:type="dxa"/>
            <w:vAlign w:val="bottom"/>
          </w:tcPr>
          <w:p w:rsidR="004B417C" w:rsidRPr="000F31F7"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Cs w:val="22"/>
              </w:rPr>
            </w:pPr>
          </w:p>
        </w:tc>
        <w:tc>
          <w:tcPr>
            <w:tcW w:w="1268" w:type="dxa"/>
            <w:vAlign w:val="bottom"/>
          </w:tcPr>
          <w:p w:rsidR="004B417C" w:rsidRPr="000F31F7"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Cs w:val="22"/>
              </w:rPr>
            </w:pPr>
          </w:p>
        </w:tc>
        <w:tc>
          <w:tcPr>
            <w:tcW w:w="1854" w:type="dxa"/>
            <w:noWrap/>
            <w:vAlign w:val="bottom"/>
          </w:tcPr>
          <w:p w:rsidR="004B417C" w:rsidRPr="000F31F7"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sz w:val="20"/>
              </w:rPr>
            </w:pPr>
          </w:p>
        </w:tc>
        <w:tc>
          <w:tcPr>
            <w:tcW w:w="1260" w:type="dxa"/>
            <w:noWrap/>
            <w:vAlign w:val="bottom"/>
          </w:tcPr>
          <w:p w:rsidR="004B417C" w:rsidRPr="000F31F7"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sz w:val="20"/>
              </w:rPr>
            </w:pPr>
          </w:p>
        </w:tc>
      </w:tr>
      <w:tr w:rsidR="004B417C" w:rsidRPr="000F31F7">
        <w:trPr>
          <w:trHeight w:val="300"/>
        </w:trPr>
        <w:tc>
          <w:tcPr>
            <w:tcW w:w="1728" w:type="dxa"/>
            <w:vAlign w:val="bottom"/>
          </w:tcPr>
          <w:p w:rsidR="004B417C" w:rsidRPr="000F31F7"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both"/>
              <w:rPr>
                <w:b/>
                <w:bCs/>
                <w:szCs w:val="22"/>
              </w:rPr>
            </w:pPr>
            <w:r w:rsidRPr="000F31F7">
              <w:rPr>
                <w:b/>
                <w:bCs/>
                <w:szCs w:val="22"/>
                <w:lang w:val="el-GR"/>
              </w:rPr>
              <w:t>Ο</w:t>
            </w:r>
            <w:r w:rsidRPr="000F31F7">
              <w:rPr>
                <w:b/>
                <w:bCs/>
                <w:szCs w:val="22"/>
              </w:rPr>
              <w:t>μολογιακό Α</w:t>
            </w:r>
          </w:p>
        </w:tc>
        <w:tc>
          <w:tcPr>
            <w:tcW w:w="1078" w:type="dxa"/>
            <w:vAlign w:val="bottom"/>
          </w:tcPr>
          <w:p w:rsidR="004B417C" w:rsidRPr="000F31F7"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Cs w:val="22"/>
                <w:lang w:val="el-GR"/>
              </w:rPr>
            </w:pPr>
            <w:r w:rsidRPr="000F31F7">
              <w:rPr>
                <w:szCs w:val="22"/>
                <w:lang w:val="el-GR"/>
              </w:rPr>
              <w:t>65.000</w:t>
            </w:r>
          </w:p>
        </w:tc>
        <w:tc>
          <w:tcPr>
            <w:tcW w:w="1268" w:type="dxa"/>
            <w:vAlign w:val="bottom"/>
          </w:tcPr>
          <w:p w:rsidR="004B417C" w:rsidRPr="000F31F7" w:rsidRDefault="0014664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Cs w:val="22"/>
                <w:lang w:val="el-GR"/>
              </w:rPr>
            </w:pPr>
            <w:r>
              <w:rPr>
                <w:szCs w:val="22"/>
                <w:lang w:val="el-GR"/>
              </w:rPr>
              <w:t>22</w:t>
            </w:r>
            <w:r w:rsidR="004B417C" w:rsidRPr="000F31F7">
              <w:rPr>
                <w:szCs w:val="22"/>
                <w:lang w:val="el-GR"/>
              </w:rPr>
              <w:t>/05/2007</w:t>
            </w:r>
          </w:p>
        </w:tc>
        <w:tc>
          <w:tcPr>
            <w:tcW w:w="1268" w:type="dxa"/>
            <w:vAlign w:val="bottom"/>
          </w:tcPr>
          <w:p w:rsidR="004B417C" w:rsidRPr="000F31F7" w:rsidRDefault="0014664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Cs w:val="22"/>
                <w:lang w:val="el-GR"/>
              </w:rPr>
            </w:pPr>
            <w:r>
              <w:rPr>
                <w:szCs w:val="22"/>
                <w:lang w:val="el-GR"/>
              </w:rPr>
              <w:t>20/12</w:t>
            </w:r>
            <w:r w:rsidR="004B417C" w:rsidRPr="000F31F7">
              <w:rPr>
                <w:szCs w:val="22"/>
                <w:lang w:val="el-GR"/>
              </w:rPr>
              <w:t>/202</w:t>
            </w:r>
            <w:r>
              <w:rPr>
                <w:szCs w:val="22"/>
                <w:lang w:val="el-GR"/>
              </w:rPr>
              <w:t>3</w:t>
            </w:r>
          </w:p>
        </w:tc>
        <w:tc>
          <w:tcPr>
            <w:tcW w:w="1854" w:type="dxa"/>
            <w:noWrap/>
            <w:vAlign w:val="bottom"/>
          </w:tcPr>
          <w:p w:rsidR="004B417C" w:rsidRPr="000F31F7" w:rsidRDefault="0014664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sz w:val="20"/>
              </w:rPr>
            </w:pPr>
            <w:r w:rsidRPr="00314658">
              <w:rPr>
                <w:sz w:val="20"/>
              </w:rPr>
              <w:t>Euribor</w:t>
            </w:r>
            <w:r w:rsidRPr="00ED645B">
              <w:rPr>
                <w:sz w:val="20"/>
                <w:lang w:val="el-GR"/>
              </w:rPr>
              <w:t xml:space="preserve"> </w:t>
            </w:r>
            <w:r>
              <w:rPr>
                <w:sz w:val="20"/>
                <w:lang w:val="el-GR"/>
              </w:rPr>
              <w:t>εξαμ.</w:t>
            </w:r>
            <w:r w:rsidRPr="00ED645B">
              <w:rPr>
                <w:sz w:val="20"/>
                <w:lang w:val="el-GR"/>
              </w:rPr>
              <w:t>+</w:t>
            </w:r>
            <w:r w:rsidRPr="00314658">
              <w:rPr>
                <w:sz w:val="20"/>
                <w:lang w:val="el-GR"/>
              </w:rPr>
              <w:t>0</w:t>
            </w:r>
            <w:r w:rsidRPr="00ED645B">
              <w:rPr>
                <w:sz w:val="20"/>
                <w:lang w:val="el-GR"/>
              </w:rPr>
              <w:t>.7%</w:t>
            </w:r>
          </w:p>
        </w:tc>
        <w:tc>
          <w:tcPr>
            <w:tcW w:w="1260" w:type="dxa"/>
            <w:vAlign w:val="bottom"/>
          </w:tcPr>
          <w:p w:rsidR="004B417C" w:rsidRPr="00C62A87"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Cs w:val="22"/>
                <w:lang w:val="el-GR"/>
              </w:rPr>
            </w:pPr>
            <w:r>
              <w:rPr>
                <w:szCs w:val="22"/>
                <w:lang w:val="el-GR"/>
              </w:rPr>
              <w:t>43.000</w:t>
            </w:r>
          </w:p>
        </w:tc>
      </w:tr>
      <w:tr w:rsidR="00146646" w:rsidRPr="000F31F7">
        <w:trPr>
          <w:trHeight w:val="300"/>
        </w:trPr>
        <w:tc>
          <w:tcPr>
            <w:tcW w:w="1728" w:type="dxa"/>
            <w:vAlign w:val="bottom"/>
          </w:tcPr>
          <w:p w:rsidR="00146646" w:rsidRPr="000F31F7" w:rsidRDefault="00146646" w:rsidP="0014664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both"/>
              <w:rPr>
                <w:b/>
                <w:bCs/>
                <w:szCs w:val="22"/>
              </w:rPr>
            </w:pPr>
            <w:r w:rsidRPr="000F31F7">
              <w:rPr>
                <w:b/>
                <w:bCs/>
                <w:szCs w:val="22"/>
                <w:lang w:val="el-GR"/>
              </w:rPr>
              <w:t>Ο</w:t>
            </w:r>
            <w:r w:rsidRPr="000F31F7">
              <w:rPr>
                <w:b/>
                <w:bCs/>
                <w:szCs w:val="22"/>
              </w:rPr>
              <w:t>μολογιακό Β</w:t>
            </w:r>
          </w:p>
        </w:tc>
        <w:tc>
          <w:tcPr>
            <w:tcW w:w="1078" w:type="dxa"/>
            <w:vAlign w:val="bottom"/>
          </w:tcPr>
          <w:p w:rsidR="00146646" w:rsidRPr="000F31F7" w:rsidRDefault="00146646" w:rsidP="0014664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Cs w:val="22"/>
                <w:lang w:val="el-GR"/>
              </w:rPr>
            </w:pPr>
            <w:r w:rsidRPr="000F31F7">
              <w:rPr>
                <w:szCs w:val="22"/>
                <w:lang w:val="el-GR"/>
              </w:rPr>
              <w:t>260.000</w:t>
            </w:r>
          </w:p>
        </w:tc>
        <w:tc>
          <w:tcPr>
            <w:tcW w:w="1268" w:type="dxa"/>
            <w:vAlign w:val="bottom"/>
          </w:tcPr>
          <w:p w:rsidR="00146646" w:rsidRPr="000F31F7" w:rsidRDefault="00BD280E" w:rsidP="0014664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Cs w:val="22"/>
                <w:lang w:val="el-GR"/>
              </w:rPr>
            </w:pPr>
            <w:r>
              <w:rPr>
                <w:szCs w:val="22"/>
              </w:rPr>
              <w:t>30</w:t>
            </w:r>
            <w:r>
              <w:rPr>
                <w:szCs w:val="22"/>
                <w:lang w:val="el-GR"/>
              </w:rPr>
              <w:t>/0</w:t>
            </w:r>
            <w:r>
              <w:rPr>
                <w:szCs w:val="22"/>
              </w:rPr>
              <w:t>3</w:t>
            </w:r>
            <w:r w:rsidR="00146646" w:rsidRPr="000F31F7">
              <w:rPr>
                <w:szCs w:val="22"/>
                <w:lang w:val="el-GR"/>
              </w:rPr>
              <w:t>/2009</w:t>
            </w:r>
          </w:p>
        </w:tc>
        <w:tc>
          <w:tcPr>
            <w:tcW w:w="1268" w:type="dxa"/>
            <w:vAlign w:val="bottom"/>
          </w:tcPr>
          <w:p w:rsidR="00146646" w:rsidRPr="000F31F7" w:rsidRDefault="00146646" w:rsidP="0014664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Cs w:val="22"/>
                <w:lang w:val="el-GR"/>
              </w:rPr>
            </w:pPr>
            <w:r w:rsidRPr="000F31F7">
              <w:rPr>
                <w:szCs w:val="22"/>
                <w:lang w:val="el-GR"/>
              </w:rPr>
              <w:t>27/09/2028</w:t>
            </w:r>
          </w:p>
        </w:tc>
        <w:tc>
          <w:tcPr>
            <w:tcW w:w="1854" w:type="dxa"/>
            <w:noWrap/>
            <w:vAlign w:val="bottom"/>
          </w:tcPr>
          <w:p w:rsidR="00146646" w:rsidRPr="00ED645B" w:rsidRDefault="00146646" w:rsidP="0014664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sz w:val="20"/>
                <w:lang w:val="el-GR"/>
              </w:rPr>
            </w:pPr>
            <w:r w:rsidRPr="00314658">
              <w:rPr>
                <w:sz w:val="20"/>
              </w:rPr>
              <w:t>Euribor</w:t>
            </w:r>
            <w:r w:rsidRPr="00ED645B">
              <w:rPr>
                <w:sz w:val="20"/>
                <w:lang w:val="el-GR"/>
              </w:rPr>
              <w:t xml:space="preserve"> </w:t>
            </w:r>
            <w:r>
              <w:rPr>
                <w:sz w:val="20"/>
                <w:lang w:val="el-GR"/>
              </w:rPr>
              <w:t>τριμ.</w:t>
            </w:r>
            <w:r w:rsidRPr="00ED645B">
              <w:rPr>
                <w:sz w:val="20"/>
                <w:lang w:val="el-GR"/>
              </w:rPr>
              <w:t>+</w:t>
            </w:r>
            <w:r w:rsidRPr="00314658">
              <w:rPr>
                <w:sz w:val="20"/>
                <w:lang w:val="el-GR"/>
              </w:rPr>
              <w:t>1.0</w:t>
            </w:r>
            <w:r w:rsidRPr="00ED645B">
              <w:rPr>
                <w:sz w:val="20"/>
                <w:lang w:val="el-GR"/>
              </w:rPr>
              <w:t>%</w:t>
            </w:r>
          </w:p>
        </w:tc>
        <w:tc>
          <w:tcPr>
            <w:tcW w:w="1260" w:type="dxa"/>
            <w:vAlign w:val="bottom"/>
          </w:tcPr>
          <w:p w:rsidR="00146646" w:rsidRPr="000F31F7" w:rsidRDefault="00146646" w:rsidP="0014664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Cs w:val="22"/>
                <w:lang w:val="el-GR"/>
              </w:rPr>
            </w:pPr>
            <w:r>
              <w:rPr>
                <w:szCs w:val="22"/>
                <w:lang w:val="el-GR"/>
              </w:rPr>
              <w:t>225.000</w:t>
            </w:r>
          </w:p>
        </w:tc>
      </w:tr>
      <w:tr w:rsidR="00146646" w:rsidRPr="000F31F7">
        <w:trPr>
          <w:trHeight w:val="300"/>
        </w:trPr>
        <w:tc>
          <w:tcPr>
            <w:tcW w:w="1728" w:type="dxa"/>
            <w:vAlign w:val="bottom"/>
          </w:tcPr>
          <w:p w:rsidR="00146646" w:rsidRPr="000F31F7" w:rsidRDefault="00146646" w:rsidP="0014664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both"/>
              <w:rPr>
                <w:b/>
                <w:bCs/>
                <w:szCs w:val="22"/>
                <w:lang w:val="el-GR"/>
              </w:rPr>
            </w:pPr>
            <w:r w:rsidRPr="000F31F7">
              <w:rPr>
                <w:b/>
                <w:bCs/>
                <w:szCs w:val="22"/>
                <w:lang w:val="el-GR"/>
              </w:rPr>
              <w:t>Ομολογιακό Γ</w:t>
            </w:r>
          </w:p>
        </w:tc>
        <w:tc>
          <w:tcPr>
            <w:tcW w:w="1078" w:type="dxa"/>
            <w:vAlign w:val="bottom"/>
          </w:tcPr>
          <w:p w:rsidR="00146646" w:rsidRPr="000F31F7" w:rsidRDefault="00146646" w:rsidP="0014664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Cs w:val="22"/>
                <w:lang w:val="el-GR"/>
              </w:rPr>
            </w:pPr>
            <w:r w:rsidRPr="000F31F7">
              <w:rPr>
                <w:szCs w:val="22"/>
                <w:lang w:val="el-GR"/>
              </w:rPr>
              <w:t>75.000</w:t>
            </w:r>
          </w:p>
        </w:tc>
        <w:tc>
          <w:tcPr>
            <w:tcW w:w="1268" w:type="dxa"/>
            <w:vAlign w:val="bottom"/>
          </w:tcPr>
          <w:p w:rsidR="00146646" w:rsidRPr="000F31F7" w:rsidRDefault="00146646" w:rsidP="0014664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Cs w:val="22"/>
                <w:lang w:val="el-GR"/>
              </w:rPr>
            </w:pPr>
            <w:r w:rsidRPr="000F31F7">
              <w:rPr>
                <w:szCs w:val="22"/>
                <w:lang w:val="el-GR"/>
              </w:rPr>
              <w:t>01/04/2009</w:t>
            </w:r>
          </w:p>
        </w:tc>
        <w:tc>
          <w:tcPr>
            <w:tcW w:w="1268" w:type="dxa"/>
            <w:vAlign w:val="bottom"/>
          </w:tcPr>
          <w:p w:rsidR="00146646" w:rsidRPr="000F31F7" w:rsidRDefault="00146646" w:rsidP="0014664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Cs w:val="22"/>
                <w:lang w:val="el-GR"/>
              </w:rPr>
            </w:pPr>
            <w:r w:rsidRPr="000F31F7">
              <w:rPr>
                <w:szCs w:val="22"/>
                <w:lang w:val="el-GR"/>
              </w:rPr>
              <w:t>31/12/2014</w:t>
            </w:r>
          </w:p>
        </w:tc>
        <w:tc>
          <w:tcPr>
            <w:tcW w:w="1854" w:type="dxa"/>
            <w:noWrap/>
            <w:vAlign w:val="bottom"/>
          </w:tcPr>
          <w:p w:rsidR="00146646" w:rsidRPr="00ED645B" w:rsidRDefault="00146646" w:rsidP="0014664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sz w:val="20"/>
                <w:lang w:val="el-GR"/>
              </w:rPr>
            </w:pPr>
            <w:r w:rsidRPr="00314658">
              <w:rPr>
                <w:sz w:val="20"/>
              </w:rPr>
              <w:t>Euribor</w:t>
            </w:r>
            <w:r w:rsidRPr="00ED645B">
              <w:rPr>
                <w:sz w:val="20"/>
                <w:lang w:val="el-GR"/>
              </w:rPr>
              <w:t xml:space="preserve"> </w:t>
            </w:r>
            <w:r>
              <w:rPr>
                <w:sz w:val="20"/>
                <w:lang w:val="el-GR"/>
              </w:rPr>
              <w:t>τριμ.</w:t>
            </w:r>
            <w:r w:rsidRPr="00ED645B">
              <w:rPr>
                <w:sz w:val="20"/>
                <w:lang w:val="el-GR"/>
              </w:rPr>
              <w:t>+</w:t>
            </w:r>
            <w:r w:rsidRPr="00314658">
              <w:rPr>
                <w:sz w:val="20"/>
                <w:lang w:val="el-GR"/>
              </w:rPr>
              <w:t>2.0</w:t>
            </w:r>
            <w:r w:rsidRPr="00ED645B">
              <w:rPr>
                <w:sz w:val="20"/>
                <w:lang w:val="el-GR"/>
              </w:rPr>
              <w:t>%</w:t>
            </w:r>
          </w:p>
        </w:tc>
        <w:tc>
          <w:tcPr>
            <w:tcW w:w="1260" w:type="dxa"/>
            <w:vAlign w:val="bottom"/>
          </w:tcPr>
          <w:p w:rsidR="00146646" w:rsidRPr="000F31F7" w:rsidRDefault="00146646" w:rsidP="0014664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Cs w:val="22"/>
                <w:lang w:val="el-GR"/>
              </w:rPr>
            </w:pPr>
            <w:r w:rsidRPr="000F31F7">
              <w:rPr>
                <w:szCs w:val="22"/>
                <w:lang w:val="el-GR"/>
              </w:rPr>
              <w:t>75.000</w:t>
            </w:r>
          </w:p>
        </w:tc>
      </w:tr>
      <w:tr w:rsidR="00146646" w:rsidRPr="00146646">
        <w:trPr>
          <w:trHeight w:val="300"/>
        </w:trPr>
        <w:tc>
          <w:tcPr>
            <w:tcW w:w="1728" w:type="dxa"/>
            <w:vAlign w:val="bottom"/>
          </w:tcPr>
          <w:p w:rsidR="00146646" w:rsidRPr="000F31F7" w:rsidRDefault="00146646" w:rsidP="0014664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both"/>
              <w:rPr>
                <w:b/>
                <w:bCs/>
                <w:szCs w:val="22"/>
                <w:lang w:val="el-GR"/>
              </w:rPr>
            </w:pPr>
            <w:r w:rsidRPr="000F31F7">
              <w:rPr>
                <w:b/>
                <w:bCs/>
                <w:szCs w:val="22"/>
                <w:lang w:val="el-GR"/>
              </w:rPr>
              <w:t>Ομολογιακό Δ</w:t>
            </w:r>
          </w:p>
        </w:tc>
        <w:tc>
          <w:tcPr>
            <w:tcW w:w="1078" w:type="dxa"/>
            <w:tcBorders>
              <w:bottom w:val="single" w:sz="2" w:space="0" w:color="auto"/>
            </w:tcBorders>
            <w:vAlign w:val="bottom"/>
          </w:tcPr>
          <w:p w:rsidR="00146646" w:rsidRPr="000F31F7" w:rsidRDefault="00146646" w:rsidP="0014664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Cs w:val="22"/>
                <w:lang w:val="el-GR"/>
              </w:rPr>
            </w:pPr>
            <w:r w:rsidRPr="000F31F7">
              <w:rPr>
                <w:szCs w:val="22"/>
                <w:lang w:val="el-GR"/>
              </w:rPr>
              <w:t>90.939</w:t>
            </w:r>
          </w:p>
        </w:tc>
        <w:tc>
          <w:tcPr>
            <w:tcW w:w="1268" w:type="dxa"/>
            <w:vAlign w:val="bottom"/>
          </w:tcPr>
          <w:p w:rsidR="00146646" w:rsidRPr="000F31F7" w:rsidRDefault="00BD280E" w:rsidP="0014664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Cs w:val="22"/>
                <w:lang w:val="el-GR"/>
              </w:rPr>
            </w:pPr>
            <w:r>
              <w:rPr>
                <w:szCs w:val="22"/>
              </w:rPr>
              <w:t>30</w:t>
            </w:r>
            <w:r>
              <w:rPr>
                <w:szCs w:val="22"/>
                <w:lang w:val="el-GR"/>
              </w:rPr>
              <w:t>/0</w:t>
            </w:r>
            <w:r>
              <w:rPr>
                <w:szCs w:val="22"/>
              </w:rPr>
              <w:t>3</w:t>
            </w:r>
            <w:r w:rsidR="00146646" w:rsidRPr="000F31F7">
              <w:rPr>
                <w:szCs w:val="22"/>
                <w:lang w:val="el-GR"/>
              </w:rPr>
              <w:t>/2009</w:t>
            </w:r>
          </w:p>
        </w:tc>
        <w:tc>
          <w:tcPr>
            <w:tcW w:w="1268" w:type="dxa"/>
            <w:vAlign w:val="bottom"/>
          </w:tcPr>
          <w:p w:rsidR="00146646" w:rsidRPr="00E568DC" w:rsidRDefault="00E568DC" w:rsidP="0014664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Cs w:val="22"/>
              </w:rPr>
            </w:pPr>
            <w:r>
              <w:rPr>
                <w:szCs w:val="22"/>
              </w:rPr>
              <w:t>10</w:t>
            </w:r>
            <w:r>
              <w:rPr>
                <w:szCs w:val="22"/>
                <w:lang w:val="el-GR"/>
              </w:rPr>
              <w:t>/0</w:t>
            </w:r>
            <w:r>
              <w:rPr>
                <w:szCs w:val="22"/>
              </w:rPr>
              <w:t>5</w:t>
            </w:r>
            <w:r w:rsidR="00146646" w:rsidRPr="000F31F7">
              <w:rPr>
                <w:szCs w:val="22"/>
                <w:lang w:val="el-GR"/>
              </w:rPr>
              <w:t>/20</w:t>
            </w:r>
            <w:r>
              <w:rPr>
                <w:szCs w:val="22"/>
              </w:rPr>
              <w:t>33</w:t>
            </w:r>
          </w:p>
        </w:tc>
        <w:tc>
          <w:tcPr>
            <w:tcW w:w="1854" w:type="dxa"/>
            <w:noWrap/>
            <w:vAlign w:val="bottom"/>
          </w:tcPr>
          <w:p w:rsidR="00146646" w:rsidRPr="00314658" w:rsidRDefault="00146646" w:rsidP="0014664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sz w:val="20"/>
                <w:lang w:val="el-GR"/>
              </w:rPr>
            </w:pPr>
            <w:r w:rsidRPr="00314658">
              <w:rPr>
                <w:sz w:val="20"/>
              </w:rPr>
              <w:t>Libor</w:t>
            </w:r>
            <w:r w:rsidRPr="00314658">
              <w:rPr>
                <w:sz w:val="20"/>
                <w:lang w:val="el-GR"/>
              </w:rPr>
              <w:t xml:space="preserve"> Εξαμ.+1.25%</w:t>
            </w:r>
          </w:p>
        </w:tc>
        <w:tc>
          <w:tcPr>
            <w:tcW w:w="1260" w:type="dxa"/>
            <w:tcBorders>
              <w:bottom w:val="single" w:sz="4" w:space="0" w:color="auto"/>
            </w:tcBorders>
            <w:vAlign w:val="bottom"/>
          </w:tcPr>
          <w:p w:rsidR="00146646" w:rsidRPr="00C62A87" w:rsidRDefault="00146646" w:rsidP="0014664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Cs w:val="22"/>
                <w:lang w:val="el-GR"/>
              </w:rPr>
            </w:pPr>
            <w:r>
              <w:rPr>
                <w:szCs w:val="22"/>
                <w:lang w:val="el-GR"/>
              </w:rPr>
              <w:t>43.489</w:t>
            </w:r>
          </w:p>
        </w:tc>
      </w:tr>
      <w:tr w:rsidR="004B417C" w:rsidRPr="00146646">
        <w:trPr>
          <w:trHeight w:val="300"/>
        </w:trPr>
        <w:tc>
          <w:tcPr>
            <w:tcW w:w="1728" w:type="dxa"/>
            <w:vAlign w:val="bottom"/>
          </w:tcPr>
          <w:p w:rsidR="004B417C" w:rsidRPr="000F31F7"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both"/>
              <w:rPr>
                <w:b/>
                <w:szCs w:val="22"/>
                <w:lang w:val="el-GR"/>
              </w:rPr>
            </w:pPr>
            <w:r w:rsidRPr="000F31F7">
              <w:rPr>
                <w:b/>
                <w:szCs w:val="22"/>
                <w:lang w:val="el-GR"/>
              </w:rPr>
              <w:t>Σύνολο</w:t>
            </w:r>
          </w:p>
        </w:tc>
        <w:tc>
          <w:tcPr>
            <w:tcW w:w="1078" w:type="dxa"/>
            <w:tcBorders>
              <w:top w:val="single" w:sz="2" w:space="0" w:color="auto"/>
              <w:bottom w:val="single" w:sz="2" w:space="0" w:color="auto"/>
            </w:tcBorders>
            <w:vAlign w:val="bottom"/>
          </w:tcPr>
          <w:p w:rsidR="004B417C" w:rsidRPr="000F31F7"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b/>
                <w:szCs w:val="22"/>
                <w:lang w:val="el-GR"/>
              </w:rPr>
            </w:pPr>
            <w:r w:rsidRPr="000F31F7">
              <w:rPr>
                <w:b/>
                <w:szCs w:val="22"/>
                <w:lang w:val="el-GR"/>
              </w:rPr>
              <w:t>490.939</w:t>
            </w:r>
          </w:p>
        </w:tc>
        <w:tc>
          <w:tcPr>
            <w:tcW w:w="1268" w:type="dxa"/>
            <w:vAlign w:val="bottom"/>
          </w:tcPr>
          <w:p w:rsidR="004B417C" w:rsidRPr="000F31F7"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Cs w:val="22"/>
                <w:lang w:val="el-GR"/>
              </w:rPr>
            </w:pPr>
          </w:p>
        </w:tc>
        <w:tc>
          <w:tcPr>
            <w:tcW w:w="1268" w:type="dxa"/>
            <w:vAlign w:val="bottom"/>
          </w:tcPr>
          <w:p w:rsidR="004B417C" w:rsidRPr="000F31F7"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Cs w:val="22"/>
                <w:lang w:val="el-GR"/>
              </w:rPr>
            </w:pPr>
          </w:p>
        </w:tc>
        <w:tc>
          <w:tcPr>
            <w:tcW w:w="1854" w:type="dxa"/>
            <w:noWrap/>
            <w:vAlign w:val="bottom"/>
          </w:tcPr>
          <w:p w:rsidR="004B417C" w:rsidRPr="000F31F7"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sz w:val="20"/>
                <w:lang w:val="el-GR"/>
              </w:rPr>
            </w:pPr>
          </w:p>
        </w:tc>
        <w:tc>
          <w:tcPr>
            <w:tcW w:w="1260" w:type="dxa"/>
            <w:tcBorders>
              <w:top w:val="single" w:sz="4" w:space="0" w:color="auto"/>
              <w:bottom w:val="single" w:sz="4" w:space="0" w:color="auto"/>
            </w:tcBorders>
            <w:vAlign w:val="bottom"/>
          </w:tcPr>
          <w:p w:rsidR="004B417C" w:rsidRPr="00C62A87"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b/>
                <w:szCs w:val="22"/>
                <w:lang w:val="el-GR"/>
              </w:rPr>
            </w:pPr>
            <w:r>
              <w:rPr>
                <w:b/>
                <w:szCs w:val="22"/>
                <w:lang w:val="el-GR"/>
              </w:rPr>
              <w:t>386.489</w:t>
            </w:r>
          </w:p>
        </w:tc>
      </w:tr>
    </w:tbl>
    <w:p w:rsidR="004B417C" w:rsidRPr="000F31F7"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rPr>
          <w:b/>
          <w:u w:val="single"/>
          <w:lang w:val="el-GR"/>
        </w:rPr>
      </w:pPr>
    </w:p>
    <w:tbl>
      <w:tblPr>
        <w:tblpPr w:leftFromText="180" w:rightFromText="180" w:vertAnchor="text" w:horzAnchor="margin" w:tblpXSpec="center" w:tblpY="41"/>
        <w:tblW w:w="8456" w:type="dxa"/>
        <w:tblLook w:val="0000"/>
      </w:tblPr>
      <w:tblGrid>
        <w:gridCol w:w="1728"/>
        <w:gridCol w:w="1078"/>
        <w:gridCol w:w="1268"/>
        <w:gridCol w:w="1268"/>
        <w:gridCol w:w="1854"/>
        <w:gridCol w:w="1260"/>
      </w:tblGrid>
      <w:tr w:rsidR="004B417C" w:rsidRPr="00146646">
        <w:trPr>
          <w:trHeight w:val="300"/>
        </w:trPr>
        <w:tc>
          <w:tcPr>
            <w:tcW w:w="8456" w:type="dxa"/>
            <w:gridSpan w:val="6"/>
            <w:vAlign w:val="bottom"/>
          </w:tcPr>
          <w:p w:rsidR="004B417C" w:rsidRPr="00C62A87" w:rsidRDefault="004B417C" w:rsidP="007A617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center"/>
              <w:rPr>
                <w:b/>
                <w:bCs/>
                <w:sz w:val="20"/>
                <w:lang w:val="el-GR"/>
              </w:rPr>
            </w:pPr>
            <w:r w:rsidRPr="000F31F7">
              <w:rPr>
                <w:b/>
                <w:bCs/>
                <w:sz w:val="20"/>
                <w:lang w:val="el-GR"/>
              </w:rPr>
              <w:t>20</w:t>
            </w:r>
            <w:r w:rsidRPr="00146646">
              <w:rPr>
                <w:b/>
                <w:bCs/>
                <w:sz w:val="20"/>
                <w:lang w:val="el-GR"/>
              </w:rPr>
              <w:t>1</w:t>
            </w:r>
            <w:r>
              <w:rPr>
                <w:b/>
                <w:bCs/>
                <w:sz w:val="20"/>
                <w:lang w:val="el-GR"/>
              </w:rPr>
              <w:t>1</w:t>
            </w:r>
          </w:p>
        </w:tc>
      </w:tr>
      <w:tr w:rsidR="004B417C" w:rsidRPr="00314658">
        <w:trPr>
          <w:trHeight w:val="300"/>
        </w:trPr>
        <w:tc>
          <w:tcPr>
            <w:tcW w:w="1728" w:type="dxa"/>
            <w:vAlign w:val="bottom"/>
          </w:tcPr>
          <w:p w:rsidR="004B417C" w:rsidRPr="00314658" w:rsidRDefault="004B417C" w:rsidP="007A617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both"/>
              <w:rPr>
                <w:szCs w:val="22"/>
                <w:lang w:val="el-GR"/>
              </w:rPr>
            </w:pPr>
          </w:p>
        </w:tc>
        <w:tc>
          <w:tcPr>
            <w:tcW w:w="1078" w:type="dxa"/>
            <w:noWrap/>
            <w:vAlign w:val="bottom"/>
          </w:tcPr>
          <w:p w:rsidR="004B417C" w:rsidRPr="00146646" w:rsidRDefault="004B417C" w:rsidP="007A617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center"/>
              <w:rPr>
                <w:b/>
                <w:bCs/>
                <w:sz w:val="20"/>
                <w:lang w:val="el-GR"/>
              </w:rPr>
            </w:pPr>
            <w:r w:rsidRPr="00146646">
              <w:rPr>
                <w:b/>
                <w:bCs/>
                <w:sz w:val="20"/>
                <w:lang w:val="el-GR"/>
              </w:rPr>
              <w:t>Αξία κατά την έκδοση</w:t>
            </w:r>
          </w:p>
        </w:tc>
        <w:tc>
          <w:tcPr>
            <w:tcW w:w="1268" w:type="dxa"/>
            <w:noWrap/>
            <w:vAlign w:val="bottom"/>
          </w:tcPr>
          <w:p w:rsidR="004B417C" w:rsidRPr="00146646" w:rsidRDefault="004B417C" w:rsidP="007A617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center"/>
              <w:rPr>
                <w:b/>
                <w:bCs/>
                <w:sz w:val="20"/>
                <w:lang w:val="el-GR"/>
              </w:rPr>
            </w:pPr>
            <w:r w:rsidRPr="00146646">
              <w:rPr>
                <w:b/>
                <w:bCs/>
                <w:sz w:val="20"/>
                <w:lang w:val="el-GR"/>
              </w:rPr>
              <w:t>Ημερομηνία έκδοσης</w:t>
            </w:r>
          </w:p>
        </w:tc>
        <w:tc>
          <w:tcPr>
            <w:tcW w:w="1268" w:type="dxa"/>
            <w:noWrap/>
            <w:vAlign w:val="bottom"/>
          </w:tcPr>
          <w:p w:rsidR="004B417C" w:rsidRPr="00146646" w:rsidRDefault="004B417C" w:rsidP="007A617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center"/>
              <w:rPr>
                <w:b/>
                <w:bCs/>
                <w:sz w:val="20"/>
                <w:lang w:val="el-GR"/>
              </w:rPr>
            </w:pPr>
            <w:r w:rsidRPr="00146646">
              <w:rPr>
                <w:b/>
                <w:bCs/>
                <w:sz w:val="20"/>
                <w:lang w:val="el-GR"/>
              </w:rPr>
              <w:t>Ημερομηνία λήξης</w:t>
            </w:r>
          </w:p>
        </w:tc>
        <w:tc>
          <w:tcPr>
            <w:tcW w:w="1854" w:type="dxa"/>
            <w:noWrap/>
            <w:vAlign w:val="bottom"/>
          </w:tcPr>
          <w:p w:rsidR="004B417C" w:rsidRPr="00146646" w:rsidRDefault="004B417C" w:rsidP="007A617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center"/>
              <w:rPr>
                <w:b/>
                <w:bCs/>
                <w:sz w:val="20"/>
                <w:lang w:val="el-GR"/>
              </w:rPr>
            </w:pPr>
            <w:r w:rsidRPr="00146646">
              <w:rPr>
                <w:b/>
                <w:bCs/>
                <w:sz w:val="20"/>
                <w:lang w:val="el-GR"/>
              </w:rPr>
              <w:t>Επιτόκιο</w:t>
            </w:r>
          </w:p>
        </w:tc>
        <w:tc>
          <w:tcPr>
            <w:tcW w:w="1260" w:type="dxa"/>
            <w:noWrap/>
            <w:vAlign w:val="bottom"/>
          </w:tcPr>
          <w:p w:rsidR="004B417C" w:rsidRPr="00314658" w:rsidRDefault="004B417C" w:rsidP="007A617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center"/>
              <w:rPr>
                <w:b/>
                <w:bCs/>
                <w:sz w:val="20"/>
                <w:lang w:val="el-GR"/>
              </w:rPr>
            </w:pPr>
            <w:r w:rsidRPr="00146646">
              <w:rPr>
                <w:b/>
                <w:bCs/>
                <w:sz w:val="20"/>
                <w:lang w:val="el-GR"/>
              </w:rPr>
              <w:t>Αξία κατά την 31</w:t>
            </w:r>
            <w:r w:rsidRPr="00314658">
              <w:rPr>
                <w:b/>
                <w:bCs/>
                <w:sz w:val="20"/>
                <w:lang w:val="el-GR"/>
              </w:rPr>
              <w:t>-Δεκ.</w:t>
            </w:r>
          </w:p>
        </w:tc>
      </w:tr>
      <w:tr w:rsidR="004B417C" w:rsidRPr="00314658">
        <w:trPr>
          <w:trHeight w:val="300"/>
        </w:trPr>
        <w:tc>
          <w:tcPr>
            <w:tcW w:w="1728" w:type="dxa"/>
            <w:noWrap/>
            <w:vAlign w:val="bottom"/>
          </w:tcPr>
          <w:p w:rsidR="004B417C" w:rsidRPr="00314658" w:rsidRDefault="004B417C" w:rsidP="007A617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sz w:val="20"/>
              </w:rPr>
            </w:pPr>
          </w:p>
        </w:tc>
        <w:tc>
          <w:tcPr>
            <w:tcW w:w="1078" w:type="dxa"/>
            <w:vAlign w:val="bottom"/>
          </w:tcPr>
          <w:p w:rsidR="004B417C" w:rsidRPr="00314658" w:rsidRDefault="004B417C" w:rsidP="007A617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Cs w:val="22"/>
              </w:rPr>
            </w:pPr>
          </w:p>
        </w:tc>
        <w:tc>
          <w:tcPr>
            <w:tcW w:w="1268" w:type="dxa"/>
            <w:vAlign w:val="bottom"/>
          </w:tcPr>
          <w:p w:rsidR="004B417C" w:rsidRPr="00314658" w:rsidRDefault="004B417C" w:rsidP="007A617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Cs w:val="22"/>
              </w:rPr>
            </w:pPr>
          </w:p>
        </w:tc>
        <w:tc>
          <w:tcPr>
            <w:tcW w:w="1268" w:type="dxa"/>
            <w:vAlign w:val="bottom"/>
          </w:tcPr>
          <w:p w:rsidR="004B417C" w:rsidRPr="00314658" w:rsidRDefault="004B417C" w:rsidP="007A617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Cs w:val="22"/>
              </w:rPr>
            </w:pPr>
          </w:p>
        </w:tc>
        <w:tc>
          <w:tcPr>
            <w:tcW w:w="1854" w:type="dxa"/>
            <w:noWrap/>
            <w:vAlign w:val="bottom"/>
          </w:tcPr>
          <w:p w:rsidR="004B417C" w:rsidRPr="00314658" w:rsidRDefault="004B417C" w:rsidP="007A617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sz w:val="20"/>
              </w:rPr>
            </w:pPr>
          </w:p>
        </w:tc>
        <w:tc>
          <w:tcPr>
            <w:tcW w:w="1260" w:type="dxa"/>
            <w:noWrap/>
            <w:vAlign w:val="bottom"/>
          </w:tcPr>
          <w:p w:rsidR="004B417C" w:rsidRPr="00314658" w:rsidRDefault="004B417C" w:rsidP="007A617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sz w:val="20"/>
              </w:rPr>
            </w:pPr>
          </w:p>
        </w:tc>
      </w:tr>
      <w:tr w:rsidR="00E16702" w:rsidRPr="00ED645B">
        <w:trPr>
          <w:trHeight w:val="300"/>
        </w:trPr>
        <w:tc>
          <w:tcPr>
            <w:tcW w:w="1728" w:type="dxa"/>
            <w:vAlign w:val="bottom"/>
          </w:tcPr>
          <w:p w:rsidR="00E16702" w:rsidRPr="00314658" w:rsidRDefault="00E16702" w:rsidP="00E16702">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both"/>
              <w:rPr>
                <w:b/>
                <w:bCs/>
                <w:szCs w:val="22"/>
              </w:rPr>
            </w:pPr>
            <w:r w:rsidRPr="00314658">
              <w:rPr>
                <w:b/>
                <w:bCs/>
                <w:szCs w:val="22"/>
                <w:lang w:val="el-GR"/>
              </w:rPr>
              <w:t>Ο</w:t>
            </w:r>
            <w:r w:rsidRPr="00314658">
              <w:rPr>
                <w:b/>
                <w:bCs/>
                <w:szCs w:val="22"/>
              </w:rPr>
              <w:t>μολογιακό Α</w:t>
            </w:r>
          </w:p>
        </w:tc>
        <w:tc>
          <w:tcPr>
            <w:tcW w:w="1078" w:type="dxa"/>
            <w:vAlign w:val="bottom"/>
          </w:tcPr>
          <w:p w:rsidR="00E16702" w:rsidRPr="00314658" w:rsidRDefault="00E16702" w:rsidP="00E16702">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Cs w:val="22"/>
                <w:lang w:val="el-GR"/>
              </w:rPr>
            </w:pPr>
            <w:r w:rsidRPr="00314658">
              <w:rPr>
                <w:szCs w:val="22"/>
                <w:lang w:val="el-GR"/>
              </w:rPr>
              <w:t>65.000</w:t>
            </w:r>
          </w:p>
        </w:tc>
        <w:tc>
          <w:tcPr>
            <w:tcW w:w="1268" w:type="dxa"/>
            <w:vAlign w:val="bottom"/>
          </w:tcPr>
          <w:p w:rsidR="00E16702" w:rsidRPr="000F31F7" w:rsidRDefault="00E16702" w:rsidP="00E16702">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Cs w:val="22"/>
                <w:lang w:val="el-GR"/>
              </w:rPr>
            </w:pPr>
            <w:r>
              <w:rPr>
                <w:szCs w:val="22"/>
                <w:lang w:val="el-GR"/>
              </w:rPr>
              <w:t>22</w:t>
            </w:r>
            <w:r w:rsidRPr="000F31F7">
              <w:rPr>
                <w:szCs w:val="22"/>
                <w:lang w:val="el-GR"/>
              </w:rPr>
              <w:t>/05/2007</w:t>
            </w:r>
          </w:p>
        </w:tc>
        <w:tc>
          <w:tcPr>
            <w:tcW w:w="1268" w:type="dxa"/>
            <w:vAlign w:val="bottom"/>
          </w:tcPr>
          <w:p w:rsidR="00E16702" w:rsidRPr="000F31F7" w:rsidRDefault="00E16702" w:rsidP="00E16702">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Cs w:val="22"/>
                <w:lang w:val="el-GR"/>
              </w:rPr>
            </w:pPr>
            <w:r>
              <w:rPr>
                <w:szCs w:val="22"/>
                <w:lang w:val="el-GR"/>
              </w:rPr>
              <w:t>20/12</w:t>
            </w:r>
            <w:r w:rsidRPr="000F31F7">
              <w:rPr>
                <w:szCs w:val="22"/>
                <w:lang w:val="el-GR"/>
              </w:rPr>
              <w:t>/202</w:t>
            </w:r>
            <w:r>
              <w:rPr>
                <w:szCs w:val="22"/>
                <w:lang w:val="el-GR"/>
              </w:rPr>
              <w:t>3</w:t>
            </w:r>
          </w:p>
        </w:tc>
        <w:tc>
          <w:tcPr>
            <w:tcW w:w="1854" w:type="dxa"/>
            <w:noWrap/>
            <w:vAlign w:val="bottom"/>
          </w:tcPr>
          <w:p w:rsidR="00E16702" w:rsidRPr="00ED645B" w:rsidRDefault="00E16702" w:rsidP="00E16702">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sz w:val="20"/>
                <w:lang w:val="el-GR"/>
              </w:rPr>
            </w:pPr>
            <w:r w:rsidRPr="00314658">
              <w:rPr>
                <w:sz w:val="20"/>
              </w:rPr>
              <w:t>Euribor</w:t>
            </w:r>
            <w:r w:rsidRPr="00ED645B">
              <w:rPr>
                <w:sz w:val="20"/>
                <w:lang w:val="el-GR"/>
              </w:rPr>
              <w:t xml:space="preserve"> </w:t>
            </w:r>
            <w:r>
              <w:rPr>
                <w:sz w:val="20"/>
                <w:lang w:val="el-GR"/>
              </w:rPr>
              <w:t>εξαμ.</w:t>
            </w:r>
            <w:r w:rsidRPr="00ED645B">
              <w:rPr>
                <w:sz w:val="20"/>
                <w:lang w:val="el-GR"/>
              </w:rPr>
              <w:t>+</w:t>
            </w:r>
            <w:r w:rsidRPr="00314658">
              <w:rPr>
                <w:sz w:val="20"/>
                <w:lang w:val="el-GR"/>
              </w:rPr>
              <w:t>0</w:t>
            </w:r>
            <w:r w:rsidRPr="00ED645B">
              <w:rPr>
                <w:sz w:val="20"/>
                <w:lang w:val="el-GR"/>
              </w:rPr>
              <w:t>.7%</w:t>
            </w:r>
          </w:p>
        </w:tc>
        <w:tc>
          <w:tcPr>
            <w:tcW w:w="1260" w:type="dxa"/>
            <w:vAlign w:val="bottom"/>
          </w:tcPr>
          <w:p w:rsidR="00E16702" w:rsidRPr="00314658" w:rsidRDefault="00E16702" w:rsidP="00E16702">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Cs w:val="22"/>
                <w:lang w:val="el-GR"/>
              </w:rPr>
            </w:pPr>
            <w:r>
              <w:rPr>
                <w:szCs w:val="22"/>
                <w:lang w:val="el-GR"/>
              </w:rPr>
              <w:t>47.000</w:t>
            </w:r>
          </w:p>
        </w:tc>
      </w:tr>
      <w:tr w:rsidR="00E16702" w:rsidRPr="00ED645B">
        <w:trPr>
          <w:trHeight w:val="300"/>
        </w:trPr>
        <w:tc>
          <w:tcPr>
            <w:tcW w:w="1728" w:type="dxa"/>
            <w:vAlign w:val="bottom"/>
          </w:tcPr>
          <w:p w:rsidR="00E16702" w:rsidRPr="00ED645B" w:rsidRDefault="00E16702" w:rsidP="00E16702">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both"/>
              <w:rPr>
                <w:b/>
                <w:bCs/>
                <w:szCs w:val="22"/>
                <w:lang w:val="el-GR"/>
              </w:rPr>
            </w:pPr>
            <w:r w:rsidRPr="00314658">
              <w:rPr>
                <w:b/>
                <w:bCs/>
                <w:szCs w:val="22"/>
                <w:lang w:val="el-GR"/>
              </w:rPr>
              <w:t>Ο</w:t>
            </w:r>
            <w:r w:rsidRPr="00ED645B">
              <w:rPr>
                <w:b/>
                <w:bCs/>
                <w:szCs w:val="22"/>
                <w:lang w:val="el-GR"/>
              </w:rPr>
              <w:t>μολογιακό Β</w:t>
            </w:r>
          </w:p>
        </w:tc>
        <w:tc>
          <w:tcPr>
            <w:tcW w:w="1078" w:type="dxa"/>
            <w:vAlign w:val="bottom"/>
          </w:tcPr>
          <w:p w:rsidR="00E16702" w:rsidRPr="00314658" w:rsidRDefault="00E16702" w:rsidP="00E16702">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Cs w:val="22"/>
                <w:lang w:val="el-GR"/>
              </w:rPr>
            </w:pPr>
            <w:r w:rsidRPr="00314658">
              <w:rPr>
                <w:szCs w:val="22"/>
                <w:lang w:val="el-GR"/>
              </w:rPr>
              <w:t>260.000</w:t>
            </w:r>
          </w:p>
        </w:tc>
        <w:tc>
          <w:tcPr>
            <w:tcW w:w="1268" w:type="dxa"/>
            <w:vAlign w:val="bottom"/>
          </w:tcPr>
          <w:p w:rsidR="00E16702" w:rsidRPr="000F31F7" w:rsidRDefault="00E16702" w:rsidP="00E16702">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Cs w:val="22"/>
                <w:lang w:val="el-GR"/>
              </w:rPr>
            </w:pPr>
            <w:r>
              <w:rPr>
                <w:szCs w:val="22"/>
              </w:rPr>
              <w:t>30</w:t>
            </w:r>
            <w:r>
              <w:rPr>
                <w:szCs w:val="22"/>
                <w:lang w:val="el-GR"/>
              </w:rPr>
              <w:t>/0</w:t>
            </w:r>
            <w:r>
              <w:rPr>
                <w:szCs w:val="22"/>
              </w:rPr>
              <w:t>3</w:t>
            </w:r>
            <w:r w:rsidRPr="000F31F7">
              <w:rPr>
                <w:szCs w:val="22"/>
                <w:lang w:val="el-GR"/>
              </w:rPr>
              <w:t>/2009</w:t>
            </w:r>
          </w:p>
        </w:tc>
        <w:tc>
          <w:tcPr>
            <w:tcW w:w="1268" w:type="dxa"/>
            <w:vAlign w:val="bottom"/>
          </w:tcPr>
          <w:p w:rsidR="00E16702" w:rsidRPr="000F31F7" w:rsidRDefault="00E16702" w:rsidP="00E16702">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Cs w:val="22"/>
                <w:lang w:val="el-GR"/>
              </w:rPr>
            </w:pPr>
            <w:r w:rsidRPr="000F31F7">
              <w:rPr>
                <w:szCs w:val="22"/>
                <w:lang w:val="el-GR"/>
              </w:rPr>
              <w:t>27/09/2028</w:t>
            </w:r>
          </w:p>
        </w:tc>
        <w:tc>
          <w:tcPr>
            <w:tcW w:w="1854" w:type="dxa"/>
            <w:noWrap/>
            <w:vAlign w:val="bottom"/>
          </w:tcPr>
          <w:p w:rsidR="00E16702" w:rsidRPr="00ED645B" w:rsidRDefault="00E16702" w:rsidP="00E16702">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sz w:val="20"/>
                <w:lang w:val="el-GR"/>
              </w:rPr>
            </w:pPr>
            <w:r w:rsidRPr="00314658">
              <w:rPr>
                <w:sz w:val="20"/>
              </w:rPr>
              <w:t>Euribor</w:t>
            </w:r>
            <w:r w:rsidRPr="00ED645B">
              <w:rPr>
                <w:sz w:val="20"/>
                <w:lang w:val="el-GR"/>
              </w:rPr>
              <w:t xml:space="preserve"> </w:t>
            </w:r>
            <w:r>
              <w:rPr>
                <w:sz w:val="20"/>
                <w:lang w:val="el-GR"/>
              </w:rPr>
              <w:t>τριμ.</w:t>
            </w:r>
            <w:r w:rsidRPr="00ED645B">
              <w:rPr>
                <w:sz w:val="20"/>
                <w:lang w:val="el-GR"/>
              </w:rPr>
              <w:t>+</w:t>
            </w:r>
            <w:r w:rsidRPr="00314658">
              <w:rPr>
                <w:sz w:val="20"/>
                <w:lang w:val="el-GR"/>
              </w:rPr>
              <w:t>1.0</w:t>
            </w:r>
            <w:r w:rsidRPr="00ED645B">
              <w:rPr>
                <w:sz w:val="20"/>
                <w:lang w:val="el-GR"/>
              </w:rPr>
              <w:t>%</w:t>
            </w:r>
          </w:p>
        </w:tc>
        <w:tc>
          <w:tcPr>
            <w:tcW w:w="1260" w:type="dxa"/>
            <w:vAlign w:val="bottom"/>
          </w:tcPr>
          <w:p w:rsidR="00E16702" w:rsidRPr="00314658" w:rsidRDefault="00E16702" w:rsidP="00E16702">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Cs w:val="22"/>
                <w:lang w:val="el-GR"/>
              </w:rPr>
            </w:pPr>
            <w:r>
              <w:rPr>
                <w:szCs w:val="22"/>
                <w:lang w:val="el-GR"/>
              </w:rPr>
              <w:t>235.000</w:t>
            </w:r>
          </w:p>
        </w:tc>
      </w:tr>
      <w:tr w:rsidR="00E16702" w:rsidRPr="00ED645B">
        <w:trPr>
          <w:trHeight w:val="300"/>
        </w:trPr>
        <w:tc>
          <w:tcPr>
            <w:tcW w:w="1728" w:type="dxa"/>
            <w:vAlign w:val="bottom"/>
          </w:tcPr>
          <w:p w:rsidR="00E16702" w:rsidRPr="00314658" w:rsidRDefault="00E16702" w:rsidP="00E16702">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both"/>
              <w:rPr>
                <w:b/>
                <w:bCs/>
                <w:szCs w:val="22"/>
                <w:lang w:val="el-GR"/>
              </w:rPr>
            </w:pPr>
            <w:r w:rsidRPr="00314658">
              <w:rPr>
                <w:b/>
                <w:bCs/>
                <w:szCs w:val="22"/>
                <w:lang w:val="el-GR"/>
              </w:rPr>
              <w:t>Ομολογιακό Γ</w:t>
            </w:r>
          </w:p>
        </w:tc>
        <w:tc>
          <w:tcPr>
            <w:tcW w:w="1078" w:type="dxa"/>
            <w:vAlign w:val="bottom"/>
          </w:tcPr>
          <w:p w:rsidR="00E16702" w:rsidRPr="00314658" w:rsidRDefault="00E16702" w:rsidP="00E16702">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Cs w:val="22"/>
                <w:lang w:val="el-GR"/>
              </w:rPr>
            </w:pPr>
            <w:r w:rsidRPr="00314658">
              <w:rPr>
                <w:szCs w:val="22"/>
                <w:lang w:val="el-GR"/>
              </w:rPr>
              <w:t>75.000</w:t>
            </w:r>
          </w:p>
        </w:tc>
        <w:tc>
          <w:tcPr>
            <w:tcW w:w="1268" w:type="dxa"/>
            <w:vAlign w:val="bottom"/>
          </w:tcPr>
          <w:p w:rsidR="00E16702" w:rsidRPr="000F31F7" w:rsidRDefault="00E16702" w:rsidP="00E16702">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Cs w:val="22"/>
                <w:lang w:val="el-GR"/>
              </w:rPr>
            </w:pPr>
            <w:r w:rsidRPr="000F31F7">
              <w:rPr>
                <w:szCs w:val="22"/>
                <w:lang w:val="el-GR"/>
              </w:rPr>
              <w:t>01/04/2009</w:t>
            </w:r>
          </w:p>
        </w:tc>
        <w:tc>
          <w:tcPr>
            <w:tcW w:w="1268" w:type="dxa"/>
            <w:vAlign w:val="bottom"/>
          </w:tcPr>
          <w:p w:rsidR="00E16702" w:rsidRPr="000F31F7" w:rsidRDefault="00E16702" w:rsidP="00E16702">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Cs w:val="22"/>
                <w:lang w:val="el-GR"/>
              </w:rPr>
            </w:pPr>
            <w:r w:rsidRPr="000F31F7">
              <w:rPr>
                <w:szCs w:val="22"/>
                <w:lang w:val="el-GR"/>
              </w:rPr>
              <w:t>31/12/2014</w:t>
            </w:r>
          </w:p>
        </w:tc>
        <w:tc>
          <w:tcPr>
            <w:tcW w:w="1854" w:type="dxa"/>
            <w:noWrap/>
            <w:vAlign w:val="bottom"/>
          </w:tcPr>
          <w:p w:rsidR="00E16702" w:rsidRPr="00ED645B" w:rsidRDefault="00E16702" w:rsidP="00E16702">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sz w:val="20"/>
                <w:lang w:val="el-GR"/>
              </w:rPr>
            </w:pPr>
            <w:r w:rsidRPr="00314658">
              <w:rPr>
                <w:sz w:val="20"/>
              </w:rPr>
              <w:t>Euribor</w:t>
            </w:r>
            <w:r w:rsidRPr="00ED645B">
              <w:rPr>
                <w:sz w:val="20"/>
                <w:lang w:val="el-GR"/>
              </w:rPr>
              <w:t xml:space="preserve"> </w:t>
            </w:r>
            <w:r>
              <w:rPr>
                <w:sz w:val="20"/>
                <w:lang w:val="el-GR"/>
              </w:rPr>
              <w:t>τριμ.</w:t>
            </w:r>
            <w:r w:rsidRPr="00ED645B">
              <w:rPr>
                <w:sz w:val="20"/>
                <w:lang w:val="el-GR"/>
              </w:rPr>
              <w:t>+</w:t>
            </w:r>
            <w:r w:rsidRPr="00314658">
              <w:rPr>
                <w:sz w:val="20"/>
                <w:lang w:val="el-GR"/>
              </w:rPr>
              <w:t>2.0</w:t>
            </w:r>
            <w:r w:rsidRPr="00ED645B">
              <w:rPr>
                <w:sz w:val="20"/>
                <w:lang w:val="el-GR"/>
              </w:rPr>
              <w:t>%</w:t>
            </w:r>
          </w:p>
        </w:tc>
        <w:tc>
          <w:tcPr>
            <w:tcW w:w="1260" w:type="dxa"/>
            <w:vAlign w:val="bottom"/>
          </w:tcPr>
          <w:p w:rsidR="00E16702" w:rsidRPr="00314658" w:rsidRDefault="00E16702" w:rsidP="00E16702">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Cs w:val="22"/>
                <w:lang w:val="el-GR"/>
              </w:rPr>
            </w:pPr>
            <w:r w:rsidRPr="00314658">
              <w:rPr>
                <w:szCs w:val="22"/>
                <w:lang w:val="el-GR"/>
              </w:rPr>
              <w:t>75.000</w:t>
            </w:r>
          </w:p>
        </w:tc>
      </w:tr>
      <w:tr w:rsidR="00E16702" w:rsidRPr="00ED645B">
        <w:trPr>
          <w:trHeight w:val="300"/>
        </w:trPr>
        <w:tc>
          <w:tcPr>
            <w:tcW w:w="1728" w:type="dxa"/>
            <w:vAlign w:val="bottom"/>
          </w:tcPr>
          <w:p w:rsidR="00E16702" w:rsidRPr="00314658" w:rsidRDefault="00E16702" w:rsidP="00E16702">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both"/>
              <w:rPr>
                <w:b/>
                <w:bCs/>
                <w:szCs w:val="22"/>
                <w:lang w:val="el-GR"/>
              </w:rPr>
            </w:pPr>
            <w:r w:rsidRPr="00314658">
              <w:rPr>
                <w:b/>
                <w:bCs/>
                <w:szCs w:val="22"/>
                <w:lang w:val="el-GR"/>
              </w:rPr>
              <w:t>Ομολογιακό Δ</w:t>
            </w:r>
          </w:p>
        </w:tc>
        <w:tc>
          <w:tcPr>
            <w:tcW w:w="1078" w:type="dxa"/>
            <w:tcBorders>
              <w:bottom w:val="single" w:sz="2" w:space="0" w:color="auto"/>
            </w:tcBorders>
            <w:vAlign w:val="bottom"/>
          </w:tcPr>
          <w:p w:rsidR="00E16702" w:rsidRPr="00314658" w:rsidRDefault="00E16702" w:rsidP="00E16702">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Cs w:val="22"/>
                <w:lang w:val="el-GR"/>
              </w:rPr>
            </w:pPr>
            <w:r w:rsidRPr="00314658">
              <w:rPr>
                <w:szCs w:val="22"/>
                <w:lang w:val="el-GR"/>
              </w:rPr>
              <w:t>90.939</w:t>
            </w:r>
          </w:p>
        </w:tc>
        <w:tc>
          <w:tcPr>
            <w:tcW w:w="1268" w:type="dxa"/>
            <w:vAlign w:val="bottom"/>
          </w:tcPr>
          <w:p w:rsidR="00E16702" w:rsidRPr="000F31F7" w:rsidRDefault="00E16702" w:rsidP="00E16702">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Cs w:val="22"/>
                <w:lang w:val="el-GR"/>
              </w:rPr>
            </w:pPr>
            <w:r>
              <w:rPr>
                <w:szCs w:val="22"/>
              </w:rPr>
              <w:t>30</w:t>
            </w:r>
            <w:r>
              <w:rPr>
                <w:szCs w:val="22"/>
                <w:lang w:val="el-GR"/>
              </w:rPr>
              <w:t>/0</w:t>
            </w:r>
            <w:r>
              <w:rPr>
                <w:szCs w:val="22"/>
              </w:rPr>
              <w:t>3</w:t>
            </w:r>
            <w:r w:rsidRPr="000F31F7">
              <w:rPr>
                <w:szCs w:val="22"/>
                <w:lang w:val="el-GR"/>
              </w:rPr>
              <w:t>/2009</w:t>
            </w:r>
          </w:p>
        </w:tc>
        <w:tc>
          <w:tcPr>
            <w:tcW w:w="1268" w:type="dxa"/>
            <w:vAlign w:val="bottom"/>
          </w:tcPr>
          <w:p w:rsidR="00E16702" w:rsidRPr="00E568DC" w:rsidRDefault="00E16702" w:rsidP="00E16702">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Cs w:val="22"/>
              </w:rPr>
            </w:pPr>
            <w:r>
              <w:rPr>
                <w:szCs w:val="22"/>
              </w:rPr>
              <w:t>10</w:t>
            </w:r>
            <w:r>
              <w:rPr>
                <w:szCs w:val="22"/>
                <w:lang w:val="el-GR"/>
              </w:rPr>
              <w:t>/0</w:t>
            </w:r>
            <w:r>
              <w:rPr>
                <w:szCs w:val="22"/>
              </w:rPr>
              <w:t>5</w:t>
            </w:r>
            <w:r w:rsidRPr="000F31F7">
              <w:rPr>
                <w:szCs w:val="22"/>
                <w:lang w:val="el-GR"/>
              </w:rPr>
              <w:t>/20</w:t>
            </w:r>
            <w:r>
              <w:rPr>
                <w:szCs w:val="22"/>
              </w:rPr>
              <w:t>33</w:t>
            </w:r>
          </w:p>
        </w:tc>
        <w:tc>
          <w:tcPr>
            <w:tcW w:w="1854" w:type="dxa"/>
            <w:noWrap/>
            <w:vAlign w:val="bottom"/>
          </w:tcPr>
          <w:p w:rsidR="00E16702" w:rsidRPr="00314658" w:rsidRDefault="00E16702" w:rsidP="00E16702">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sz w:val="20"/>
                <w:lang w:val="el-GR"/>
              </w:rPr>
            </w:pPr>
            <w:r w:rsidRPr="00314658">
              <w:rPr>
                <w:sz w:val="20"/>
              </w:rPr>
              <w:t>Libor</w:t>
            </w:r>
            <w:r w:rsidRPr="00314658">
              <w:rPr>
                <w:sz w:val="20"/>
                <w:lang w:val="el-GR"/>
              </w:rPr>
              <w:t xml:space="preserve"> Εξαμ.+1.25%</w:t>
            </w:r>
          </w:p>
        </w:tc>
        <w:tc>
          <w:tcPr>
            <w:tcW w:w="1260" w:type="dxa"/>
            <w:tcBorders>
              <w:bottom w:val="single" w:sz="4" w:space="0" w:color="auto"/>
            </w:tcBorders>
            <w:vAlign w:val="bottom"/>
          </w:tcPr>
          <w:p w:rsidR="00E16702" w:rsidRPr="00314658" w:rsidRDefault="00E16702" w:rsidP="00E16702">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Cs w:val="22"/>
                <w:lang w:val="el-GR"/>
              </w:rPr>
            </w:pPr>
            <w:r>
              <w:rPr>
                <w:szCs w:val="22"/>
                <w:lang w:val="el-GR"/>
              </w:rPr>
              <w:t>73.626</w:t>
            </w:r>
          </w:p>
        </w:tc>
      </w:tr>
      <w:tr w:rsidR="004B417C" w:rsidRPr="00ED645B">
        <w:trPr>
          <w:trHeight w:val="300"/>
        </w:trPr>
        <w:tc>
          <w:tcPr>
            <w:tcW w:w="1728" w:type="dxa"/>
            <w:vAlign w:val="bottom"/>
          </w:tcPr>
          <w:p w:rsidR="004B417C" w:rsidRPr="00314658" w:rsidRDefault="004B417C" w:rsidP="0031465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both"/>
              <w:rPr>
                <w:b/>
                <w:szCs w:val="22"/>
                <w:lang w:val="el-GR"/>
              </w:rPr>
            </w:pPr>
            <w:r w:rsidRPr="00314658">
              <w:rPr>
                <w:b/>
                <w:szCs w:val="22"/>
                <w:lang w:val="el-GR"/>
              </w:rPr>
              <w:t>Σύνολο</w:t>
            </w:r>
          </w:p>
        </w:tc>
        <w:tc>
          <w:tcPr>
            <w:tcW w:w="1078" w:type="dxa"/>
            <w:tcBorders>
              <w:top w:val="single" w:sz="2" w:space="0" w:color="auto"/>
              <w:bottom w:val="single" w:sz="2" w:space="0" w:color="auto"/>
            </w:tcBorders>
            <w:vAlign w:val="bottom"/>
          </w:tcPr>
          <w:p w:rsidR="004B417C" w:rsidRPr="00314658" w:rsidRDefault="004B417C" w:rsidP="0031465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b/>
                <w:szCs w:val="22"/>
                <w:lang w:val="el-GR"/>
              </w:rPr>
            </w:pPr>
            <w:r w:rsidRPr="00314658">
              <w:rPr>
                <w:b/>
                <w:szCs w:val="22"/>
                <w:lang w:val="el-GR"/>
              </w:rPr>
              <w:t>490.939</w:t>
            </w:r>
          </w:p>
        </w:tc>
        <w:tc>
          <w:tcPr>
            <w:tcW w:w="1268" w:type="dxa"/>
            <w:vAlign w:val="bottom"/>
          </w:tcPr>
          <w:p w:rsidR="004B417C" w:rsidRPr="00314658" w:rsidRDefault="004B417C" w:rsidP="0031465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Cs w:val="22"/>
                <w:lang w:val="el-GR"/>
              </w:rPr>
            </w:pPr>
          </w:p>
        </w:tc>
        <w:tc>
          <w:tcPr>
            <w:tcW w:w="1268" w:type="dxa"/>
            <w:vAlign w:val="bottom"/>
          </w:tcPr>
          <w:p w:rsidR="004B417C" w:rsidRPr="00314658" w:rsidRDefault="004B417C" w:rsidP="0031465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Cs w:val="22"/>
                <w:lang w:val="el-GR"/>
              </w:rPr>
            </w:pPr>
          </w:p>
        </w:tc>
        <w:tc>
          <w:tcPr>
            <w:tcW w:w="1854" w:type="dxa"/>
            <w:noWrap/>
            <w:vAlign w:val="bottom"/>
          </w:tcPr>
          <w:p w:rsidR="004B417C" w:rsidRPr="00314658" w:rsidRDefault="004B417C" w:rsidP="0031465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sz w:val="20"/>
                <w:lang w:val="el-GR"/>
              </w:rPr>
            </w:pPr>
          </w:p>
        </w:tc>
        <w:tc>
          <w:tcPr>
            <w:tcW w:w="1260" w:type="dxa"/>
            <w:tcBorders>
              <w:top w:val="single" w:sz="4" w:space="0" w:color="auto"/>
              <w:bottom w:val="single" w:sz="4" w:space="0" w:color="auto"/>
            </w:tcBorders>
            <w:vAlign w:val="bottom"/>
          </w:tcPr>
          <w:p w:rsidR="004B417C" w:rsidRPr="00314658" w:rsidRDefault="004B417C" w:rsidP="0031465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b/>
                <w:szCs w:val="22"/>
                <w:lang w:val="el-GR"/>
              </w:rPr>
            </w:pPr>
            <w:r>
              <w:rPr>
                <w:b/>
                <w:szCs w:val="22"/>
                <w:lang w:val="el-GR"/>
              </w:rPr>
              <w:t>430.626</w:t>
            </w:r>
          </w:p>
        </w:tc>
      </w:tr>
    </w:tbl>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b/>
          <w:u w:val="single"/>
          <w:lang w:val="el-GR"/>
        </w:rPr>
      </w:pPr>
    </w:p>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b/>
          <w:u w:val="single"/>
          <w:lang w:val="el-GR"/>
        </w:rPr>
      </w:pPr>
    </w:p>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rPr>
          <w:b/>
          <w:u w:val="single"/>
          <w:lang w:val="el-GR"/>
        </w:rPr>
      </w:pPr>
      <w:r>
        <w:rPr>
          <w:b/>
          <w:u w:val="single"/>
          <w:lang w:val="el-GR"/>
        </w:rPr>
        <w:t>Ομολογιακό Α</w:t>
      </w:r>
    </w:p>
    <w:p w:rsidR="004B417C" w:rsidRDefault="004B417C" w:rsidP="002B3B2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17"/>
          <w:lang w:val="el-GR"/>
        </w:rPr>
      </w:pPr>
    </w:p>
    <w:p w:rsidR="004B417C" w:rsidRDefault="004B417C" w:rsidP="00913F0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17"/>
          <w:lang w:val="el-GR"/>
        </w:rPr>
      </w:pPr>
      <w:r>
        <w:rPr>
          <w:szCs w:val="17"/>
          <w:lang w:val="el-GR"/>
        </w:rPr>
        <w:t xml:space="preserve">Η Εταιρεία, την </w:t>
      </w:r>
      <w:r w:rsidR="00F041EF" w:rsidRPr="00F041EF">
        <w:rPr>
          <w:szCs w:val="17"/>
          <w:lang w:val="el-GR"/>
        </w:rPr>
        <w:t>22</w:t>
      </w:r>
      <w:r>
        <w:rPr>
          <w:szCs w:val="17"/>
          <w:lang w:val="el-GR"/>
        </w:rPr>
        <w:t>/05/</w:t>
      </w:r>
      <w:r w:rsidR="00042C7D">
        <w:rPr>
          <w:szCs w:val="17"/>
          <w:lang w:val="el-GR"/>
        </w:rPr>
        <w:t>2007 εξέδωσε  ομολογιακό δάνειο</w:t>
      </w:r>
      <w:r>
        <w:rPr>
          <w:szCs w:val="17"/>
          <w:lang w:val="el-GR"/>
        </w:rPr>
        <w:t>, το οποίο στο σύνολό του αγοράσθηκε στην ονομαστική τιμή εκδόσεώς του από την μητρική ΑΤΕ</w:t>
      </w:r>
      <w:r>
        <w:rPr>
          <w:szCs w:val="17"/>
        </w:rPr>
        <w:t>bank</w:t>
      </w:r>
      <w:r>
        <w:rPr>
          <w:szCs w:val="17"/>
          <w:lang w:val="el-GR"/>
        </w:rPr>
        <w:t xml:space="preserve">. Σκοπός του δανείου ήταν η εξυπηρέτηση χρηματοδοτήσεων της μορφής </w:t>
      </w:r>
      <w:r>
        <w:rPr>
          <w:szCs w:val="17"/>
        </w:rPr>
        <w:t>sale</w:t>
      </w:r>
      <w:r>
        <w:rPr>
          <w:szCs w:val="17"/>
          <w:lang w:val="el-GR"/>
        </w:rPr>
        <w:t xml:space="preserve"> </w:t>
      </w:r>
      <w:r>
        <w:rPr>
          <w:szCs w:val="17"/>
        </w:rPr>
        <w:t>and</w:t>
      </w:r>
      <w:r>
        <w:rPr>
          <w:szCs w:val="17"/>
          <w:lang w:val="el-GR"/>
        </w:rPr>
        <w:t xml:space="preserve"> </w:t>
      </w:r>
      <w:r>
        <w:rPr>
          <w:szCs w:val="17"/>
        </w:rPr>
        <w:t>lease</w:t>
      </w:r>
      <w:r>
        <w:rPr>
          <w:szCs w:val="17"/>
          <w:lang w:val="el-GR"/>
        </w:rPr>
        <w:t xml:space="preserve"> </w:t>
      </w:r>
      <w:r>
        <w:rPr>
          <w:szCs w:val="17"/>
        </w:rPr>
        <w:t>back</w:t>
      </w:r>
      <w:r>
        <w:rPr>
          <w:szCs w:val="17"/>
          <w:lang w:val="el-GR"/>
        </w:rPr>
        <w:t xml:space="preserve"> που έχει η Εταιρεία με πελάτες της. Το δάνειο ύψους. Ευρώ 65 εκ διαιρείται σε εκατόν τριάντα (130) κοινές ομολογίες με αριθμούς τίτλων 1-34 ονομαστικής αξίας έκαστης ομολογίας Ευρώ 500.000. Συγκεκριμένα εκδόθηκαν : </w:t>
      </w:r>
    </w:p>
    <w:p w:rsidR="004B417C" w:rsidRDefault="004B417C" w:rsidP="00913F0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17"/>
          <w:lang w:val="el-GR"/>
        </w:rPr>
      </w:pPr>
      <w:r>
        <w:rPr>
          <w:szCs w:val="17"/>
          <w:lang w:val="el-GR"/>
        </w:rPr>
        <w:lastRenderedPageBreak/>
        <w:t>3 τίτλοι έκαστος</w:t>
      </w:r>
      <w:r w:rsidRPr="00D01742">
        <w:rPr>
          <w:szCs w:val="17"/>
          <w:lang w:val="el-GR"/>
        </w:rPr>
        <w:t xml:space="preserve"> </w:t>
      </w:r>
      <w:r>
        <w:rPr>
          <w:szCs w:val="17"/>
          <w:lang w:val="el-GR"/>
        </w:rPr>
        <w:t xml:space="preserve">Ευρώ 500.000, 1 τίτλος Ευρώ 1.000.000, 4 τίτλοι Ευρώ 1.500.000, </w:t>
      </w:r>
      <w:r>
        <w:rPr>
          <w:szCs w:val="17"/>
          <w:lang w:val="el-GR"/>
        </w:rPr>
        <w:br/>
        <w:t>17 τίτλοι</w:t>
      </w:r>
      <w:r w:rsidRPr="00E93245">
        <w:rPr>
          <w:szCs w:val="17"/>
          <w:lang w:val="el-GR"/>
        </w:rPr>
        <w:t xml:space="preserve"> </w:t>
      </w:r>
      <w:r>
        <w:rPr>
          <w:szCs w:val="17"/>
          <w:lang w:val="el-GR"/>
        </w:rPr>
        <w:t>Ευρώ 2.000.000, 9 τίτλοι</w:t>
      </w:r>
      <w:r w:rsidRPr="00E93245">
        <w:rPr>
          <w:szCs w:val="17"/>
          <w:lang w:val="el-GR"/>
        </w:rPr>
        <w:t xml:space="preserve"> </w:t>
      </w:r>
      <w:r>
        <w:rPr>
          <w:szCs w:val="17"/>
          <w:lang w:val="el-GR"/>
        </w:rPr>
        <w:t xml:space="preserve">Ευρώ 2.500.000.  Το επιτόκιο υπολογίζεται σε </w:t>
      </w:r>
      <w:r>
        <w:rPr>
          <w:szCs w:val="17"/>
        </w:rPr>
        <w:t>Euribor</w:t>
      </w:r>
      <w:r>
        <w:rPr>
          <w:szCs w:val="17"/>
          <w:lang w:val="el-GR"/>
        </w:rPr>
        <w:t xml:space="preserve"> εξαμήνου  πλέον περιθωρίου 0,70%. Το κεφάλαιο του δανείου εξοφλήθη κατά το ποσό Ευρώ 4.000.000 μέσα στο έτος 201</w:t>
      </w:r>
      <w:r w:rsidRPr="00505050">
        <w:rPr>
          <w:szCs w:val="17"/>
          <w:lang w:val="el-GR"/>
        </w:rPr>
        <w:t>2</w:t>
      </w:r>
      <w:r>
        <w:rPr>
          <w:szCs w:val="17"/>
          <w:lang w:val="el-GR"/>
        </w:rPr>
        <w:t>.</w:t>
      </w:r>
    </w:p>
    <w:p w:rsidR="004B417C" w:rsidRDefault="004B417C" w:rsidP="00311D5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rPr>
          <w:b/>
          <w:u w:val="single"/>
          <w:lang w:val="el-GR"/>
        </w:rPr>
      </w:pPr>
    </w:p>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rPr>
          <w:b/>
          <w:u w:val="single"/>
          <w:lang w:val="el-GR"/>
        </w:rPr>
      </w:pPr>
      <w:r>
        <w:rPr>
          <w:b/>
          <w:u w:val="single"/>
          <w:lang w:val="el-GR"/>
        </w:rPr>
        <w:t>Ομολογιακό Β</w:t>
      </w:r>
    </w:p>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17"/>
          <w:lang w:val="el-GR"/>
        </w:rPr>
      </w:pPr>
    </w:p>
    <w:p w:rsidR="004B417C" w:rsidRDefault="0021591C" w:rsidP="00913F0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17"/>
          <w:lang w:val="el-GR"/>
        </w:rPr>
      </w:pPr>
      <w:r>
        <w:rPr>
          <w:szCs w:val="17"/>
          <w:lang w:val="el-GR"/>
        </w:rPr>
        <w:t xml:space="preserve">Η Εταιρεία, την </w:t>
      </w:r>
      <w:r w:rsidRPr="0021591C">
        <w:rPr>
          <w:szCs w:val="17"/>
          <w:lang w:val="el-GR"/>
        </w:rPr>
        <w:t>30</w:t>
      </w:r>
      <w:r>
        <w:rPr>
          <w:szCs w:val="17"/>
          <w:lang w:val="el-GR"/>
        </w:rPr>
        <w:t>/0</w:t>
      </w:r>
      <w:r w:rsidRPr="0021591C">
        <w:rPr>
          <w:szCs w:val="17"/>
          <w:lang w:val="el-GR"/>
        </w:rPr>
        <w:t>3</w:t>
      </w:r>
      <w:r w:rsidR="004B417C">
        <w:rPr>
          <w:szCs w:val="17"/>
          <w:lang w:val="el-GR"/>
        </w:rPr>
        <w:t>/2009 εξέδωσε  ομολογιακό δάνειο, το οποίο στο σύνολό του αγοράσθηκε στην ονομαστική τιμή εκδόσεώς του από την μητρική ΑΤΕ</w:t>
      </w:r>
      <w:r w:rsidR="004B417C">
        <w:rPr>
          <w:szCs w:val="17"/>
        </w:rPr>
        <w:t>bank</w:t>
      </w:r>
      <w:r w:rsidR="004B417C">
        <w:rPr>
          <w:szCs w:val="17"/>
          <w:lang w:val="el-GR"/>
        </w:rPr>
        <w:t>. Σκοπός του δανείου ήταν η εξυπηρέτηση υφιστάμενων δανείων. Το δάνειο ύψους</w:t>
      </w:r>
      <w:r w:rsidR="004B417C" w:rsidRPr="00D01742">
        <w:rPr>
          <w:szCs w:val="17"/>
          <w:lang w:val="el-GR"/>
        </w:rPr>
        <w:t xml:space="preserve"> </w:t>
      </w:r>
      <w:r w:rsidR="004B417C">
        <w:rPr>
          <w:szCs w:val="17"/>
          <w:lang w:val="el-GR"/>
        </w:rPr>
        <w:t xml:space="preserve">Ευρώ 260 εκ. διαιρείται σε πενήντα δύο (52) ονομαστικούς ενσώματους τίτλους ονομαστικής αξίας  Ευρώ 5.000.000 έκαστος. Συγκεκριμένα εκδόθηκαν : </w:t>
      </w:r>
    </w:p>
    <w:p w:rsidR="004B417C" w:rsidRDefault="004B417C" w:rsidP="00913F0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17"/>
          <w:lang w:val="el-GR"/>
        </w:rPr>
      </w:pPr>
      <w:r>
        <w:rPr>
          <w:szCs w:val="17"/>
          <w:lang w:val="el-GR"/>
        </w:rPr>
        <w:t>Μία(1) Ομολογία αξίας Ευρώ 5.000.000 ημερομηνία εξόφλησης 28/09/2009,δώδεκα Ομολογίες (12) συνολικής αξίας</w:t>
      </w:r>
      <w:r w:rsidRPr="0026355F">
        <w:rPr>
          <w:szCs w:val="17"/>
          <w:lang w:val="el-GR"/>
        </w:rPr>
        <w:t xml:space="preserve"> </w:t>
      </w:r>
      <w:r>
        <w:rPr>
          <w:szCs w:val="17"/>
          <w:lang w:val="el-GR"/>
        </w:rPr>
        <w:t>Ευρώ 60.000.000 με ημερομηνία εξόφλησης από το έτος 2010 έως το έτος 2015, ήτοι από μία ομολογία στις ημερομηνίες 27/3 έκαστου έτους και από μία Ομολογία στην ημερομηνία 27/9 έκαστου έτους. Τριάντα (30) Ομολογίες  συνολικής αξίας</w:t>
      </w:r>
      <w:r w:rsidRPr="0026355F">
        <w:rPr>
          <w:szCs w:val="17"/>
          <w:lang w:val="el-GR"/>
        </w:rPr>
        <w:t xml:space="preserve"> </w:t>
      </w:r>
      <w:r>
        <w:rPr>
          <w:szCs w:val="17"/>
          <w:lang w:val="el-GR"/>
        </w:rPr>
        <w:t>Ευρώ 195.000.000 θα εξοφληθούν  από το έτος 2016 έως το έτος 2028, ήτοι από μία Ομολογία στις ημερομηνίες 27/3 έκαστου έτους  και από δύο  Ομολογίες  στις ημερομηνίες  27/9 έκαστου έτους.</w:t>
      </w:r>
    </w:p>
    <w:p w:rsidR="004B417C" w:rsidRDefault="004B417C" w:rsidP="00913F0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17"/>
          <w:lang w:val="el-GR"/>
        </w:rPr>
      </w:pPr>
      <w:r>
        <w:rPr>
          <w:szCs w:val="17"/>
          <w:lang w:val="el-GR"/>
        </w:rPr>
        <w:t xml:space="preserve">Το επιτόκιο υπολογίζεται σε </w:t>
      </w:r>
      <w:r>
        <w:rPr>
          <w:szCs w:val="17"/>
        </w:rPr>
        <w:t>Euribor</w:t>
      </w:r>
      <w:r>
        <w:rPr>
          <w:szCs w:val="17"/>
          <w:lang w:val="el-GR"/>
        </w:rPr>
        <w:t xml:space="preserve"> τριμήνου  πλέον περιθωρίου 1,00%. </w:t>
      </w:r>
    </w:p>
    <w:p w:rsidR="004B417C" w:rsidRDefault="004B417C" w:rsidP="00913F0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17"/>
          <w:lang w:val="el-GR"/>
        </w:rPr>
      </w:pPr>
      <w:r>
        <w:rPr>
          <w:szCs w:val="17"/>
          <w:lang w:val="el-GR"/>
        </w:rPr>
        <w:t>Το κεφάλαιο του δανείου εξοφλήθη κατά το ποσό</w:t>
      </w:r>
      <w:r w:rsidRPr="0026355F">
        <w:rPr>
          <w:szCs w:val="17"/>
          <w:lang w:val="el-GR"/>
        </w:rPr>
        <w:t xml:space="preserve"> </w:t>
      </w:r>
      <w:r>
        <w:rPr>
          <w:szCs w:val="17"/>
          <w:lang w:val="el-GR"/>
        </w:rPr>
        <w:t>Ευρώ 10.000.000 μέσα στο έτος 201</w:t>
      </w:r>
      <w:r w:rsidRPr="00505050">
        <w:rPr>
          <w:szCs w:val="17"/>
          <w:lang w:val="el-GR"/>
        </w:rPr>
        <w:t>2</w:t>
      </w:r>
      <w:r>
        <w:rPr>
          <w:szCs w:val="17"/>
          <w:lang w:val="el-GR"/>
        </w:rPr>
        <w:t>.</w:t>
      </w:r>
    </w:p>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17"/>
          <w:lang w:val="el-GR"/>
        </w:rPr>
      </w:pPr>
    </w:p>
    <w:p w:rsidR="004B417C" w:rsidRPr="008C51F9"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b/>
          <w:szCs w:val="17"/>
          <w:u w:val="single"/>
          <w:lang w:val="el-GR"/>
        </w:rPr>
      </w:pPr>
      <w:r w:rsidRPr="008C51F9">
        <w:rPr>
          <w:b/>
          <w:szCs w:val="17"/>
          <w:u w:val="single"/>
          <w:lang w:val="el-GR"/>
        </w:rPr>
        <w:t>Ομολογιακό Γ</w:t>
      </w:r>
    </w:p>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17"/>
          <w:lang w:val="el-GR"/>
        </w:rPr>
      </w:pPr>
    </w:p>
    <w:p w:rsidR="004B417C" w:rsidRDefault="004B417C" w:rsidP="00913F0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17"/>
          <w:lang w:val="el-GR"/>
        </w:rPr>
      </w:pPr>
      <w:r>
        <w:rPr>
          <w:szCs w:val="17"/>
          <w:lang w:val="el-GR"/>
        </w:rPr>
        <w:t>Η Εταιρεία, την 01/04/2009 εξέδωσε  ομολογιακό δάνειο, το οποίο στο σύνολό του αγοράσθηκε στην ονομαστική τιμή εκδόσεώς του από την μητρική ΑΤΕ</w:t>
      </w:r>
      <w:r w:rsidRPr="00311D56">
        <w:rPr>
          <w:szCs w:val="17"/>
          <w:lang w:val="el-GR"/>
        </w:rPr>
        <w:t>bank</w:t>
      </w:r>
      <w:r>
        <w:rPr>
          <w:szCs w:val="17"/>
          <w:lang w:val="el-GR"/>
        </w:rPr>
        <w:t>. Σκοπός του δανείου ήταν η εξυπηρέτηση γενικών επιχειρηματικών σκοπών της εταιρίας. Το δάνειο ύψους</w:t>
      </w:r>
      <w:r w:rsidRPr="00425637">
        <w:rPr>
          <w:szCs w:val="17"/>
          <w:lang w:val="el-GR"/>
        </w:rPr>
        <w:t xml:space="preserve"> </w:t>
      </w:r>
      <w:r>
        <w:rPr>
          <w:szCs w:val="17"/>
          <w:lang w:val="el-GR"/>
        </w:rPr>
        <w:t xml:space="preserve">Ευρώ 75 εκ. διαιρείται σε δεκαπέντε (15) ονομαστικούς ενσώματους τίτλους ονομαστικής αξίας  Ευρώ 5.000.000 έκαστος. Συγκεκριμένα εκδόθηκαν τρεις σειρές Ομολογιών αξίας Ευρώ 25.000.000 έκαστος. </w:t>
      </w:r>
    </w:p>
    <w:p w:rsidR="004B417C" w:rsidRDefault="004B417C" w:rsidP="00913F0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17"/>
          <w:lang w:val="el-GR"/>
        </w:rPr>
      </w:pPr>
      <w:r>
        <w:rPr>
          <w:szCs w:val="17"/>
          <w:lang w:val="el-GR"/>
        </w:rPr>
        <w:t xml:space="preserve">Το επιτόκιο υπολογίζεται σε </w:t>
      </w:r>
      <w:r w:rsidRPr="00311D56">
        <w:rPr>
          <w:szCs w:val="17"/>
          <w:lang w:val="el-GR"/>
        </w:rPr>
        <w:t>Euribor</w:t>
      </w:r>
      <w:r>
        <w:rPr>
          <w:szCs w:val="17"/>
          <w:lang w:val="el-GR"/>
        </w:rPr>
        <w:t xml:space="preserve"> τριμήνου πλέον περιθωρίου 2,00%. </w:t>
      </w:r>
    </w:p>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17"/>
          <w:lang w:val="el-GR"/>
        </w:rPr>
      </w:pPr>
    </w:p>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b/>
          <w:szCs w:val="17"/>
          <w:u w:val="single"/>
          <w:lang w:val="el-GR"/>
        </w:rPr>
      </w:pPr>
      <w:r w:rsidRPr="008C51F9">
        <w:rPr>
          <w:b/>
          <w:szCs w:val="17"/>
          <w:u w:val="single"/>
          <w:lang w:val="el-GR"/>
        </w:rPr>
        <w:t>Ομολογιακό Δ</w:t>
      </w:r>
    </w:p>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b/>
          <w:szCs w:val="17"/>
          <w:u w:val="single"/>
          <w:lang w:val="el-GR"/>
        </w:rPr>
      </w:pPr>
    </w:p>
    <w:p w:rsidR="004B417C" w:rsidRDefault="00C84011" w:rsidP="003B5F7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17"/>
          <w:lang w:val="el-GR"/>
        </w:rPr>
      </w:pPr>
      <w:r>
        <w:rPr>
          <w:szCs w:val="17"/>
          <w:lang w:val="el-GR"/>
        </w:rPr>
        <w:t xml:space="preserve">Η Εταιρεία, την </w:t>
      </w:r>
      <w:r w:rsidRPr="00C84011">
        <w:rPr>
          <w:szCs w:val="17"/>
          <w:lang w:val="el-GR"/>
        </w:rPr>
        <w:t>30</w:t>
      </w:r>
      <w:r>
        <w:rPr>
          <w:szCs w:val="17"/>
          <w:lang w:val="el-GR"/>
        </w:rPr>
        <w:t>/0</w:t>
      </w:r>
      <w:r w:rsidRPr="00C84011">
        <w:rPr>
          <w:szCs w:val="17"/>
          <w:lang w:val="el-GR"/>
        </w:rPr>
        <w:t>3</w:t>
      </w:r>
      <w:r w:rsidR="004B417C">
        <w:rPr>
          <w:szCs w:val="17"/>
          <w:lang w:val="el-GR"/>
        </w:rPr>
        <w:t>/2009 εξέδωσε  ομολογιακό δάνειο, το οποίο στο σύνολό του αγοράσθηκε στην ονομαστική τιμή εκδόσεώς του από την μητρική ΑΤΕ</w:t>
      </w:r>
      <w:r w:rsidR="004B417C" w:rsidRPr="00311D56">
        <w:rPr>
          <w:szCs w:val="17"/>
          <w:lang w:val="el-GR"/>
        </w:rPr>
        <w:t>bank</w:t>
      </w:r>
      <w:r w:rsidR="004B417C">
        <w:rPr>
          <w:szCs w:val="17"/>
          <w:lang w:val="el-GR"/>
        </w:rPr>
        <w:t>.  Την  26/11/2010 τροποποιήθηκαν όροι της σύμβασης καθιστώντας  ως ημερομηνία λήξης του δανείου την 10/5/2033.Σκοπός του δανείου ήταν η αναχρηματοδότηση υφιστάμενων οφειλών καθώς και η εξυπηρέτηση γενικών επιχειρηματικών σκοπών της εταιρίας. Το δάνειο ύψους 138 εκ</w:t>
      </w:r>
      <w:r w:rsidR="004B417C" w:rsidRPr="00F7432E">
        <w:rPr>
          <w:szCs w:val="17"/>
          <w:lang w:val="el-GR"/>
        </w:rPr>
        <w:t xml:space="preserve"> </w:t>
      </w:r>
      <w:r w:rsidR="004B417C">
        <w:rPr>
          <w:szCs w:val="17"/>
        </w:rPr>
        <w:t>CHF</w:t>
      </w:r>
      <w:r w:rsidR="004B417C">
        <w:rPr>
          <w:szCs w:val="17"/>
          <w:lang w:val="el-GR"/>
        </w:rPr>
        <w:t xml:space="preserve">.  τροποποιήθηκε μετά από πράξη  προεξόφλησης ονομαστικών  τίτλων ύψους 31.000.000 </w:t>
      </w:r>
      <w:r w:rsidR="004B417C">
        <w:rPr>
          <w:szCs w:val="17"/>
        </w:rPr>
        <w:t>CHF</w:t>
      </w:r>
      <w:r w:rsidR="004B417C">
        <w:rPr>
          <w:szCs w:val="17"/>
          <w:lang w:val="el-GR"/>
        </w:rPr>
        <w:t xml:space="preserve">. Συγκεκριμένα το δάνειο διαμορφώθηκε στα 95 εκ. </w:t>
      </w:r>
      <w:r w:rsidR="004B417C">
        <w:rPr>
          <w:szCs w:val="17"/>
        </w:rPr>
        <w:t>CHF</w:t>
      </w:r>
      <w:r w:rsidR="004B417C">
        <w:rPr>
          <w:szCs w:val="17"/>
          <w:lang w:val="el-GR"/>
        </w:rPr>
        <w:t xml:space="preserve">   και διαιρείται σε 190 νέες κοινές ονομαστικές ενσώματες Ομολογίες  σε 23 πολλαπλούς τίτλους ονομαστικής αξίας 500.000 </w:t>
      </w:r>
      <w:r w:rsidR="004B417C">
        <w:rPr>
          <w:szCs w:val="17"/>
        </w:rPr>
        <w:t>CHF</w:t>
      </w:r>
      <w:r w:rsidR="004B417C">
        <w:rPr>
          <w:szCs w:val="17"/>
          <w:lang w:val="el-GR"/>
        </w:rPr>
        <w:t xml:space="preserve"> έκαστη ομολογία. </w:t>
      </w:r>
    </w:p>
    <w:p w:rsidR="004B417C" w:rsidRDefault="004B417C" w:rsidP="00311D5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rPr>
          <w:szCs w:val="17"/>
          <w:lang w:val="el-GR"/>
        </w:rPr>
      </w:pPr>
    </w:p>
    <w:p w:rsidR="004B417C" w:rsidRPr="00C66FE3" w:rsidRDefault="004B417C" w:rsidP="00311D5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rPr>
          <w:szCs w:val="17"/>
          <w:lang w:val="el-GR"/>
        </w:rPr>
      </w:pPr>
      <w:r w:rsidRPr="00CE3C30">
        <w:rPr>
          <w:szCs w:val="17"/>
          <w:lang w:val="el-GR"/>
        </w:rPr>
        <w:t xml:space="preserve">Τα έξοδα τόκων στην κλειόμενη χρήση ανήλθαν σε Ευρώ </w:t>
      </w:r>
      <w:r>
        <w:rPr>
          <w:szCs w:val="17"/>
          <w:lang w:val="el-GR"/>
        </w:rPr>
        <w:t>7.920</w:t>
      </w:r>
      <w:r w:rsidRPr="00CE3C30">
        <w:rPr>
          <w:szCs w:val="17"/>
          <w:lang w:val="el-GR"/>
        </w:rPr>
        <w:t xml:space="preserve"> χιλ.</w:t>
      </w:r>
      <w:r>
        <w:rPr>
          <w:szCs w:val="17"/>
          <w:lang w:val="el-GR"/>
        </w:rPr>
        <w:t xml:space="preserve"> (2011</w:t>
      </w:r>
      <w:r w:rsidRPr="00CE3C30">
        <w:rPr>
          <w:szCs w:val="17"/>
          <w:lang w:val="el-GR"/>
        </w:rPr>
        <w:t xml:space="preserve">: Ευρώ </w:t>
      </w:r>
      <w:r>
        <w:rPr>
          <w:szCs w:val="17"/>
          <w:lang w:val="el-GR"/>
        </w:rPr>
        <w:t>10.405</w:t>
      </w:r>
      <w:r w:rsidRPr="00CE3C30">
        <w:rPr>
          <w:szCs w:val="17"/>
          <w:lang w:val="el-GR"/>
        </w:rPr>
        <w:t xml:space="preserve"> χιλιάδες). Στις λοιπές υποχρεώσεις περιλαμβάνονται δεδουλευμένοι τόκοι –έξοδα Ευρώ </w:t>
      </w:r>
      <w:r>
        <w:rPr>
          <w:szCs w:val="17"/>
          <w:lang w:val="el-GR"/>
        </w:rPr>
        <w:t>144</w:t>
      </w:r>
      <w:r w:rsidRPr="00CE3C30">
        <w:rPr>
          <w:szCs w:val="17"/>
          <w:lang w:val="el-GR"/>
        </w:rPr>
        <w:t xml:space="preserve"> χιλ.</w:t>
      </w:r>
      <w:r>
        <w:rPr>
          <w:szCs w:val="17"/>
          <w:lang w:val="el-GR"/>
        </w:rPr>
        <w:t xml:space="preserve"> (2011</w:t>
      </w:r>
      <w:r w:rsidRPr="00CE3C30">
        <w:rPr>
          <w:szCs w:val="17"/>
          <w:lang w:val="el-GR"/>
        </w:rPr>
        <w:t xml:space="preserve">:Ευρώ </w:t>
      </w:r>
      <w:r>
        <w:rPr>
          <w:szCs w:val="17"/>
          <w:lang w:val="el-GR"/>
        </w:rPr>
        <w:t>251</w:t>
      </w:r>
      <w:r w:rsidRPr="00CE3C30">
        <w:rPr>
          <w:szCs w:val="17"/>
          <w:lang w:val="el-GR"/>
        </w:rPr>
        <w:t xml:space="preserve"> χιλιάδες).</w:t>
      </w:r>
    </w:p>
    <w:p w:rsidR="004B417C" w:rsidRDefault="004B417C" w:rsidP="0088149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b/>
          <w:szCs w:val="17"/>
          <w:u w:val="single"/>
          <w:lang w:val="el-GR"/>
        </w:rPr>
      </w:pPr>
    </w:p>
    <w:p w:rsidR="007E1BAD" w:rsidRDefault="007E1BAD" w:rsidP="0088149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b/>
          <w:szCs w:val="17"/>
          <w:u w:val="single"/>
          <w:lang w:val="el-GR"/>
        </w:rPr>
      </w:pPr>
    </w:p>
    <w:p w:rsidR="007E1BAD" w:rsidRDefault="007E1BAD" w:rsidP="0088149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b/>
          <w:szCs w:val="17"/>
          <w:u w:val="single"/>
          <w:lang w:val="el-GR"/>
        </w:rPr>
      </w:pPr>
    </w:p>
    <w:p w:rsidR="007E1BAD" w:rsidRDefault="007E1BAD" w:rsidP="0088149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b/>
          <w:szCs w:val="17"/>
          <w:u w:val="single"/>
          <w:lang w:val="el-GR"/>
        </w:rPr>
      </w:pPr>
    </w:p>
    <w:p w:rsidR="007E1BAD" w:rsidRDefault="007E1BAD" w:rsidP="0088149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b/>
          <w:szCs w:val="17"/>
          <w:u w:val="single"/>
          <w:lang w:val="el-GR"/>
        </w:rPr>
      </w:pPr>
    </w:p>
    <w:p w:rsidR="007E1BAD" w:rsidRPr="007347A7" w:rsidRDefault="007E1BAD" w:rsidP="0088149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b/>
          <w:szCs w:val="17"/>
          <w:u w:val="single"/>
          <w:lang w:val="el-GR"/>
        </w:rPr>
      </w:pPr>
    </w:p>
    <w:p w:rsidR="004B417C" w:rsidRPr="006B1B03" w:rsidRDefault="004B417C" w:rsidP="0061201B">
      <w:pPr>
        <w:pStyle w:val="Heading1"/>
        <w:keepLines/>
        <w:shd w:val="clear" w:color="auto" w:fill="auto"/>
        <w:spacing w:before="130" w:line="280" w:lineRule="atLeast"/>
        <w:rPr>
          <w:szCs w:val="22"/>
          <w:lang w:val="el-GR"/>
        </w:rPr>
      </w:pPr>
      <w:bookmarkStart w:id="24" w:name="_Toc128477835"/>
      <w:r w:rsidRPr="00915E21">
        <w:rPr>
          <w:szCs w:val="22"/>
          <w:lang w:val="el-GR"/>
        </w:rPr>
        <w:lastRenderedPageBreak/>
        <w:t>1</w:t>
      </w:r>
      <w:r>
        <w:rPr>
          <w:szCs w:val="22"/>
          <w:lang w:val="el-GR"/>
        </w:rPr>
        <w:t>6</w:t>
      </w:r>
      <w:r w:rsidRPr="00915E21">
        <w:rPr>
          <w:szCs w:val="22"/>
          <w:lang w:val="el-GR"/>
        </w:rPr>
        <w:t xml:space="preserve"> </w:t>
      </w:r>
      <w:r w:rsidRPr="006B1B03">
        <w:rPr>
          <w:szCs w:val="22"/>
          <w:lang w:val="el-GR"/>
        </w:rPr>
        <w:t>Λοιπές υποχρεώσεις</w:t>
      </w:r>
      <w:bookmarkEnd w:id="24"/>
    </w:p>
    <w:p w:rsidR="004B417C" w:rsidRDefault="004B417C">
      <w:pPr>
        <w:spacing w:line="240" w:lineRule="auto"/>
        <w:jc w:val="both"/>
        <w:rPr>
          <w:highlight w:val="yellow"/>
          <w:lang w:val="el-GR"/>
        </w:rPr>
      </w:pPr>
    </w:p>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17"/>
          <w:lang w:val="el-GR"/>
        </w:rPr>
      </w:pPr>
      <w:r>
        <w:rPr>
          <w:szCs w:val="17"/>
          <w:lang w:val="el-GR"/>
        </w:rPr>
        <w:t>Οι λοιπές υποχρεώσεις αναλύονται ως εξής:</w:t>
      </w:r>
    </w:p>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17"/>
          <w:lang w:val="el-GR"/>
        </w:rPr>
      </w:pPr>
    </w:p>
    <w:tbl>
      <w:tblPr>
        <w:tblW w:w="7704" w:type="dxa"/>
        <w:tblInd w:w="250" w:type="dxa"/>
        <w:tblLayout w:type="fixed"/>
        <w:tblLook w:val="0000"/>
      </w:tblPr>
      <w:tblGrid>
        <w:gridCol w:w="4898"/>
        <w:gridCol w:w="1276"/>
        <w:gridCol w:w="254"/>
        <w:gridCol w:w="1276"/>
      </w:tblGrid>
      <w:tr w:rsidR="004B417C">
        <w:trPr>
          <w:trHeight w:hRule="exact" w:val="397"/>
        </w:trPr>
        <w:tc>
          <w:tcPr>
            <w:tcW w:w="4898" w:type="dxa"/>
            <w:vAlign w:val="center"/>
          </w:tcPr>
          <w:p w:rsidR="004B417C" w:rsidRDefault="004B417C">
            <w:pPr>
              <w:spacing w:line="240" w:lineRule="auto"/>
              <w:jc w:val="both"/>
              <w:rPr>
                <w:lang w:val="el-GR"/>
              </w:rPr>
            </w:pPr>
          </w:p>
        </w:tc>
        <w:tc>
          <w:tcPr>
            <w:tcW w:w="1276" w:type="dxa"/>
            <w:tcBorders>
              <w:bottom w:val="single" w:sz="4" w:space="0" w:color="auto"/>
            </w:tcBorders>
            <w:vAlign w:val="center"/>
          </w:tcPr>
          <w:p w:rsidR="004B417C" w:rsidRPr="00631F7F" w:rsidRDefault="004B417C">
            <w:pPr>
              <w:spacing w:line="240" w:lineRule="auto"/>
              <w:jc w:val="right"/>
              <w:rPr>
                <w:b/>
                <w:lang w:val="el-GR"/>
              </w:rPr>
            </w:pPr>
            <w:r>
              <w:rPr>
                <w:b/>
                <w:lang w:val="el-GR"/>
              </w:rPr>
              <w:t>2012</w:t>
            </w:r>
          </w:p>
        </w:tc>
        <w:tc>
          <w:tcPr>
            <w:tcW w:w="254" w:type="dxa"/>
            <w:vAlign w:val="center"/>
          </w:tcPr>
          <w:p w:rsidR="004B417C" w:rsidRDefault="004B417C">
            <w:pPr>
              <w:spacing w:line="240" w:lineRule="auto"/>
              <w:jc w:val="right"/>
              <w:rPr>
                <w:b/>
                <w:lang w:val="el-GR"/>
              </w:rPr>
            </w:pPr>
          </w:p>
        </w:tc>
        <w:tc>
          <w:tcPr>
            <w:tcW w:w="1276" w:type="dxa"/>
            <w:tcBorders>
              <w:bottom w:val="single" w:sz="4" w:space="0" w:color="auto"/>
            </w:tcBorders>
            <w:vAlign w:val="center"/>
          </w:tcPr>
          <w:p w:rsidR="004B417C" w:rsidRDefault="004B417C">
            <w:pPr>
              <w:spacing w:line="240" w:lineRule="auto"/>
              <w:jc w:val="right"/>
              <w:rPr>
                <w:b/>
                <w:lang w:val="el-GR"/>
              </w:rPr>
            </w:pPr>
            <w:r>
              <w:rPr>
                <w:b/>
                <w:lang w:val="el-GR"/>
              </w:rPr>
              <w:t>2011</w:t>
            </w:r>
          </w:p>
        </w:tc>
      </w:tr>
      <w:tr w:rsidR="004B417C">
        <w:trPr>
          <w:trHeight w:hRule="exact" w:val="340"/>
        </w:trPr>
        <w:tc>
          <w:tcPr>
            <w:tcW w:w="4898" w:type="dxa"/>
            <w:vAlign w:val="center"/>
          </w:tcPr>
          <w:p w:rsidR="004B417C" w:rsidRDefault="004B417C" w:rsidP="00C173FA">
            <w:pPr>
              <w:spacing w:line="240" w:lineRule="auto"/>
              <w:jc w:val="both"/>
              <w:rPr>
                <w:lang w:val="el-GR"/>
              </w:rPr>
            </w:pPr>
            <w:r>
              <w:rPr>
                <w:lang w:val="el-GR"/>
              </w:rPr>
              <w:t>Υποχρέωση από φόρο μεταβίβασης ακινήτων</w:t>
            </w:r>
          </w:p>
        </w:tc>
        <w:tc>
          <w:tcPr>
            <w:tcW w:w="1276" w:type="dxa"/>
            <w:vAlign w:val="center"/>
          </w:tcPr>
          <w:p w:rsidR="004B417C" w:rsidRPr="008201F4" w:rsidRDefault="004B417C" w:rsidP="00C173FA">
            <w:pPr>
              <w:spacing w:line="240" w:lineRule="auto"/>
              <w:jc w:val="right"/>
              <w:rPr>
                <w:lang w:val="el-GR"/>
              </w:rPr>
            </w:pPr>
            <w:r>
              <w:rPr>
                <w:lang w:val="el-GR"/>
              </w:rPr>
              <w:t>-</w:t>
            </w:r>
          </w:p>
        </w:tc>
        <w:tc>
          <w:tcPr>
            <w:tcW w:w="254" w:type="dxa"/>
            <w:vAlign w:val="center"/>
          </w:tcPr>
          <w:p w:rsidR="004B417C" w:rsidRDefault="004B417C" w:rsidP="00C173FA">
            <w:pPr>
              <w:spacing w:line="240" w:lineRule="auto"/>
              <w:jc w:val="right"/>
              <w:rPr>
                <w:lang w:val="el-GR"/>
              </w:rPr>
            </w:pPr>
          </w:p>
        </w:tc>
        <w:tc>
          <w:tcPr>
            <w:tcW w:w="1276" w:type="dxa"/>
            <w:vAlign w:val="center"/>
          </w:tcPr>
          <w:p w:rsidR="004B417C" w:rsidRDefault="004B417C" w:rsidP="00C173FA">
            <w:pPr>
              <w:spacing w:line="240" w:lineRule="auto"/>
              <w:jc w:val="right"/>
              <w:rPr>
                <w:lang w:val="el-GR"/>
              </w:rPr>
            </w:pPr>
            <w:r>
              <w:rPr>
                <w:lang w:val="el-GR"/>
              </w:rPr>
              <w:t>683</w:t>
            </w:r>
          </w:p>
        </w:tc>
      </w:tr>
      <w:tr w:rsidR="004B417C">
        <w:trPr>
          <w:trHeight w:hRule="exact" w:val="340"/>
        </w:trPr>
        <w:tc>
          <w:tcPr>
            <w:tcW w:w="4898" w:type="dxa"/>
            <w:vAlign w:val="center"/>
          </w:tcPr>
          <w:p w:rsidR="004B417C" w:rsidRDefault="004B417C">
            <w:pPr>
              <w:spacing w:line="240" w:lineRule="auto"/>
              <w:jc w:val="both"/>
              <w:rPr>
                <w:lang w:val="el-GR"/>
              </w:rPr>
            </w:pPr>
            <w:r>
              <w:rPr>
                <w:lang w:val="el-GR"/>
              </w:rPr>
              <w:t>Πιστωτές και προμηθευτές</w:t>
            </w:r>
          </w:p>
        </w:tc>
        <w:tc>
          <w:tcPr>
            <w:tcW w:w="1276" w:type="dxa"/>
            <w:vAlign w:val="center"/>
          </w:tcPr>
          <w:p w:rsidR="004B417C" w:rsidRPr="008858B3" w:rsidRDefault="004B417C">
            <w:pPr>
              <w:spacing w:line="240" w:lineRule="auto"/>
              <w:jc w:val="right"/>
              <w:rPr>
                <w:lang w:val="el-GR"/>
              </w:rPr>
            </w:pPr>
            <w:r>
              <w:rPr>
                <w:lang w:val="el-GR"/>
              </w:rPr>
              <w:t>14.560</w:t>
            </w:r>
          </w:p>
        </w:tc>
        <w:tc>
          <w:tcPr>
            <w:tcW w:w="254" w:type="dxa"/>
            <w:vAlign w:val="center"/>
          </w:tcPr>
          <w:p w:rsidR="004B417C" w:rsidRDefault="004B417C">
            <w:pPr>
              <w:spacing w:line="240" w:lineRule="auto"/>
              <w:jc w:val="right"/>
              <w:rPr>
                <w:lang w:val="el-GR"/>
              </w:rPr>
            </w:pPr>
          </w:p>
        </w:tc>
        <w:tc>
          <w:tcPr>
            <w:tcW w:w="1276" w:type="dxa"/>
            <w:vAlign w:val="center"/>
          </w:tcPr>
          <w:p w:rsidR="004B417C" w:rsidRDefault="004B417C">
            <w:pPr>
              <w:spacing w:line="240" w:lineRule="auto"/>
              <w:jc w:val="right"/>
              <w:rPr>
                <w:lang w:val="el-GR"/>
              </w:rPr>
            </w:pPr>
            <w:r>
              <w:rPr>
                <w:lang w:val="el-GR"/>
              </w:rPr>
              <w:t>5.150</w:t>
            </w:r>
          </w:p>
        </w:tc>
      </w:tr>
      <w:tr w:rsidR="004B417C">
        <w:trPr>
          <w:trHeight w:val="340"/>
        </w:trPr>
        <w:tc>
          <w:tcPr>
            <w:tcW w:w="4898" w:type="dxa"/>
            <w:vAlign w:val="center"/>
          </w:tcPr>
          <w:p w:rsidR="004B417C" w:rsidRDefault="004B417C" w:rsidP="00ED676F">
            <w:pPr>
              <w:spacing w:line="240" w:lineRule="auto"/>
              <w:jc w:val="both"/>
              <w:rPr>
                <w:lang w:val="el-GR"/>
              </w:rPr>
            </w:pPr>
            <w:r>
              <w:rPr>
                <w:lang w:val="el-GR"/>
              </w:rPr>
              <w:t>Πρόβλεψη για έκτακτους κινδύνους</w:t>
            </w:r>
          </w:p>
        </w:tc>
        <w:tc>
          <w:tcPr>
            <w:tcW w:w="1276" w:type="dxa"/>
            <w:vAlign w:val="center"/>
          </w:tcPr>
          <w:p w:rsidR="004B417C" w:rsidRPr="00F26EAB" w:rsidRDefault="004B417C" w:rsidP="00ED676F">
            <w:pPr>
              <w:spacing w:line="240" w:lineRule="auto"/>
              <w:jc w:val="right"/>
            </w:pPr>
            <w:r>
              <w:t>747</w:t>
            </w:r>
          </w:p>
        </w:tc>
        <w:tc>
          <w:tcPr>
            <w:tcW w:w="254" w:type="dxa"/>
            <w:vAlign w:val="center"/>
          </w:tcPr>
          <w:p w:rsidR="004B417C" w:rsidRDefault="004B417C" w:rsidP="00ED676F">
            <w:pPr>
              <w:spacing w:line="240" w:lineRule="auto"/>
              <w:jc w:val="right"/>
              <w:rPr>
                <w:lang w:val="el-GR"/>
              </w:rPr>
            </w:pPr>
          </w:p>
        </w:tc>
        <w:tc>
          <w:tcPr>
            <w:tcW w:w="1276" w:type="dxa"/>
            <w:vAlign w:val="center"/>
          </w:tcPr>
          <w:p w:rsidR="004B417C" w:rsidRDefault="004B417C" w:rsidP="00ED676F">
            <w:pPr>
              <w:spacing w:line="240" w:lineRule="auto"/>
              <w:jc w:val="right"/>
              <w:rPr>
                <w:lang w:val="el-GR"/>
              </w:rPr>
            </w:pPr>
            <w:r>
              <w:rPr>
                <w:lang w:val="el-GR"/>
              </w:rPr>
              <w:t>747</w:t>
            </w:r>
          </w:p>
        </w:tc>
      </w:tr>
      <w:tr w:rsidR="004B417C">
        <w:trPr>
          <w:trHeight w:val="340"/>
        </w:trPr>
        <w:tc>
          <w:tcPr>
            <w:tcW w:w="4898" w:type="dxa"/>
            <w:vAlign w:val="center"/>
          </w:tcPr>
          <w:p w:rsidR="004B417C" w:rsidRDefault="004B417C" w:rsidP="00ED676F">
            <w:pPr>
              <w:spacing w:line="240" w:lineRule="auto"/>
              <w:jc w:val="both"/>
              <w:rPr>
                <w:lang w:val="el-GR"/>
              </w:rPr>
            </w:pPr>
            <w:r>
              <w:rPr>
                <w:lang w:val="el-GR"/>
              </w:rPr>
              <w:t>Έξοδα πληρωτέα</w:t>
            </w:r>
          </w:p>
        </w:tc>
        <w:tc>
          <w:tcPr>
            <w:tcW w:w="1276" w:type="dxa"/>
            <w:vAlign w:val="center"/>
          </w:tcPr>
          <w:p w:rsidR="004B417C" w:rsidRPr="008201F4" w:rsidRDefault="004B417C" w:rsidP="00ED676F">
            <w:pPr>
              <w:spacing w:line="240" w:lineRule="auto"/>
              <w:jc w:val="right"/>
              <w:rPr>
                <w:lang w:val="el-GR"/>
              </w:rPr>
            </w:pPr>
            <w:r>
              <w:rPr>
                <w:lang w:val="el-GR"/>
              </w:rPr>
              <w:t>144</w:t>
            </w:r>
          </w:p>
        </w:tc>
        <w:tc>
          <w:tcPr>
            <w:tcW w:w="254" w:type="dxa"/>
            <w:vAlign w:val="center"/>
          </w:tcPr>
          <w:p w:rsidR="004B417C" w:rsidRDefault="004B417C" w:rsidP="00ED676F">
            <w:pPr>
              <w:spacing w:line="240" w:lineRule="auto"/>
              <w:jc w:val="right"/>
              <w:rPr>
                <w:lang w:val="el-GR"/>
              </w:rPr>
            </w:pPr>
          </w:p>
        </w:tc>
        <w:tc>
          <w:tcPr>
            <w:tcW w:w="1276" w:type="dxa"/>
            <w:vAlign w:val="center"/>
          </w:tcPr>
          <w:p w:rsidR="004B417C" w:rsidRDefault="004B417C" w:rsidP="00ED676F">
            <w:pPr>
              <w:spacing w:line="240" w:lineRule="auto"/>
              <w:jc w:val="right"/>
              <w:rPr>
                <w:lang w:val="el-GR"/>
              </w:rPr>
            </w:pPr>
            <w:r>
              <w:rPr>
                <w:lang w:val="el-GR"/>
              </w:rPr>
              <w:t>251</w:t>
            </w:r>
          </w:p>
        </w:tc>
      </w:tr>
      <w:tr w:rsidR="004B417C">
        <w:trPr>
          <w:trHeight w:hRule="exact" w:val="340"/>
        </w:trPr>
        <w:tc>
          <w:tcPr>
            <w:tcW w:w="4898" w:type="dxa"/>
            <w:vAlign w:val="center"/>
          </w:tcPr>
          <w:p w:rsidR="004B417C" w:rsidRDefault="004B417C">
            <w:pPr>
              <w:spacing w:line="240" w:lineRule="auto"/>
              <w:jc w:val="both"/>
              <w:rPr>
                <w:lang w:val="el-GR"/>
              </w:rPr>
            </w:pPr>
            <w:r>
              <w:rPr>
                <w:lang w:val="el-GR"/>
              </w:rPr>
              <w:t>Έσοδα επομένων χρήσεων</w:t>
            </w:r>
          </w:p>
        </w:tc>
        <w:tc>
          <w:tcPr>
            <w:tcW w:w="1276" w:type="dxa"/>
            <w:vAlign w:val="center"/>
          </w:tcPr>
          <w:p w:rsidR="004B417C" w:rsidRPr="008201F4" w:rsidRDefault="004B417C">
            <w:pPr>
              <w:spacing w:line="240" w:lineRule="auto"/>
              <w:jc w:val="right"/>
              <w:rPr>
                <w:lang w:val="el-GR"/>
              </w:rPr>
            </w:pPr>
            <w:r>
              <w:rPr>
                <w:lang w:val="el-GR"/>
              </w:rPr>
              <w:t>228</w:t>
            </w:r>
          </w:p>
        </w:tc>
        <w:tc>
          <w:tcPr>
            <w:tcW w:w="254" w:type="dxa"/>
            <w:vAlign w:val="center"/>
          </w:tcPr>
          <w:p w:rsidR="004B417C" w:rsidRDefault="004B417C">
            <w:pPr>
              <w:spacing w:line="240" w:lineRule="auto"/>
              <w:jc w:val="right"/>
              <w:rPr>
                <w:lang w:val="el-GR"/>
              </w:rPr>
            </w:pPr>
          </w:p>
        </w:tc>
        <w:tc>
          <w:tcPr>
            <w:tcW w:w="1276" w:type="dxa"/>
            <w:vAlign w:val="center"/>
          </w:tcPr>
          <w:p w:rsidR="004B417C" w:rsidRDefault="004B417C">
            <w:pPr>
              <w:spacing w:line="240" w:lineRule="auto"/>
              <w:jc w:val="right"/>
              <w:rPr>
                <w:lang w:val="el-GR"/>
              </w:rPr>
            </w:pPr>
            <w:r>
              <w:rPr>
                <w:lang w:val="el-GR"/>
              </w:rPr>
              <w:t>322</w:t>
            </w:r>
          </w:p>
        </w:tc>
      </w:tr>
      <w:tr w:rsidR="004B417C" w:rsidRPr="000F5C67">
        <w:trPr>
          <w:trHeight w:val="340"/>
        </w:trPr>
        <w:tc>
          <w:tcPr>
            <w:tcW w:w="4898" w:type="dxa"/>
            <w:vAlign w:val="center"/>
          </w:tcPr>
          <w:p w:rsidR="004B417C" w:rsidRDefault="004B417C">
            <w:pPr>
              <w:spacing w:line="240" w:lineRule="auto"/>
              <w:jc w:val="both"/>
              <w:rPr>
                <w:lang w:val="el-GR"/>
              </w:rPr>
            </w:pPr>
            <w:r>
              <w:rPr>
                <w:lang w:val="el-GR"/>
              </w:rPr>
              <w:t>Οφειλές προς το Δημόσιο</w:t>
            </w:r>
          </w:p>
        </w:tc>
        <w:tc>
          <w:tcPr>
            <w:tcW w:w="1276" w:type="dxa"/>
            <w:vAlign w:val="center"/>
          </w:tcPr>
          <w:p w:rsidR="004B417C" w:rsidRPr="008201F4" w:rsidRDefault="004B417C">
            <w:pPr>
              <w:spacing w:line="240" w:lineRule="auto"/>
              <w:jc w:val="right"/>
              <w:rPr>
                <w:lang w:val="el-GR"/>
              </w:rPr>
            </w:pPr>
            <w:r>
              <w:rPr>
                <w:lang w:val="el-GR"/>
              </w:rPr>
              <w:t>116</w:t>
            </w:r>
          </w:p>
        </w:tc>
        <w:tc>
          <w:tcPr>
            <w:tcW w:w="254" w:type="dxa"/>
            <w:vAlign w:val="center"/>
          </w:tcPr>
          <w:p w:rsidR="004B417C" w:rsidRPr="000F5C67" w:rsidRDefault="004B417C">
            <w:pPr>
              <w:spacing w:line="240" w:lineRule="auto"/>
              <w:jc w:val="right"/>
              <w:rPr>
                <w:lang w:val="el-GR"/>
              </w:rPr>
            </w:pPr>
          </w:p>
        </w:tc>
        <w:tc>
          <w:tcPr>
            <w:tcW w:w="1276" w:type="dxa"/>
            <w:vAlign w:val="center"/>
          </w:tcPr>
          <w:p w:rsidR="004B417C" w:rsidRPr="000F5C67" w:rsidRDefault="004B417C">
            <w:pPr>
              <w:spacing w:line="240" w:lineRule="auto"/>
              <w:jc w:val="right"/>
              <w:rPr>
                <w:lang w:val="el-GR"/>
              </w:rPr>
            </w:pPr>
            <w:r>
              <w:rPr>
                <w:lang w:val="el-GR"/>
              </w:rPr>
              <w:t>981</w:t>
            </w:r>
          </w:p>
        </w:tc>
      </w:tr>
      <w:tr w:rsidR="004B417C" w:rsidRPr="000F5C67">
        <w:trPr>
          <w:trHeight w:hRule="exact" w:val="340"/>
        </w:trPr>
        <w:tc>
          <w:tcPr>
            <w:tcW w:w="4898" w:type="dxa"/>
            <w:vAlign w:val="center"/>
          </w:tcPr>
          <w:p w:rsidR="004B417C" w:rsidRDefault="004B417C">
            <w:pPr>
              <w:spacing w:line="240" w:lineRule="auto"/>
              <w:jc w:val="both"/>
              <w:rPr>
                <w:lang w:val="el-GR"/>
              </w:rPr>
            </w:pPr>
            <w:r>
              <w:rPr>
                <w:lang w:val="el-GR"/>
              </w:rPr>
              <w:t>Λοιπές υποχρεώσεις</w:t>
            </w:r>
          </w:p>
        </w:tc>
        <w:tc>
          <w:tcPr>
            <w:tcW w:w="1276" w:type="dxa"/>
            <w:vAlign w:val="center"/>
          </w:tcPr>
          <w:p w:rsidR="004B417C" w:rsidRPr="000F5C67" w:rsidRDefault="004B417C">
            <w:pPr>
              <w:spacing w:line="240" w:lineRule="auto"/>
              <w:jc w:val="right"/>
            </w:pPr>
            <w:r w:rsidRPr="000F5C67">
              <w:t>15</w:t>
            </w:r>
          </w:p>
        </w:tc>
        <w:tc>
          <w:tcPr>
            <w:tcW w:w="254" w:type="dxa"/>
            <w:vAlign w:val="center"/>
          </w:tcPr>
          <w:p w:rsidR="004B417C" w:rsidRPr="000F5C67" w:rsidRDefault="004B417C">
            <w:pPr>
              <w:spacing w:line="240" w:lineRule="auto"/>
              <w:jc w:val="right"/>
              <w:rPr>
                <w:lang w:val="el-GR"/>
              </w:rPr>
            </w:pPr>
          </w:p>
        </w:tc>
        <w:tc>
          <w:tcPr>
            <w:tcW w:w="1276" w:type="dxa"/>
            <w:vAlign w:val="center"/>
          </w:tcPr>
          <w:p w:rsidR="004B417C" w:rsidRPr="000F5C67" w:rsidRDefault="004B417C">
            <w:pPr>
              <w:spacing w:line="240" w:lineRule="auto"/>
              <w:jc w:val="right"/>
              <w:rPr>
                <w:lang w:val="el-GR"/>
              </w:rPr>
            </w:pPr>
            <w:r>
              <w:rPr>
                <w:lang w:val="el-GR"/>
              </w:rPr>
              <w:t>15</w:t>
            </w:r>
          </w:p>
        </w:tc>
      </w:tr>
      <w:tr w:rsidR="004B417C">
        <w:trPr>
          <w:trHeight w:hRule="exact" w:val="340"/>
        </w:trPr>
        <w:tc>
          <w:tcPr>
            <w:tcW w:w="4898" w:type="dxa"/>
            <w:vAlign w:val="center"/>
          </w:tcPr>
          <w:p w:rsidR="004B417C" w:rsidRDefault="004B417C">
            <w:pPr>
              <w:spacing w:line="240" w:lineRule="auto"/>
              <w:jc w:val="both"/>
              <w:rPr>
                <w:color w:val="FF0000"/>
                <w:lang w:val="el-GR"/>
              </w:rPr>
            </w:pPr>
          </w:p>
        </w:tc>
        <w:tc>
          <w:tcPr>
            <w:tcW w:w="1276" w:type="dxa"/>
            <w:tcBorders>
              <w:top w:val="single" w:sz="4" w:space="0" w:color="auto"/>
              <w:bottom w:val="double" w:sz="4" w:space="0" w:color="auto"/>
            </w:tcBorders>
            <w:vAlign w:val="center"/>
          </w:tcPr>
          <w:p w:rsidR="004B417C" w:rsidRPr="008858B3" w:rsidRDefault="004B417C" w:rsidP="008D6296">
            <w:pPr>
              <w:spacing w:line="240" w:lineRule="auto"/>
              <w:jc w:val="right"/>
              <w:rPr>
                <w:b/>
                <w:bCs/>
                <w:lang w:val="el-GR"/>
              </w:rPr>
            </w:pPr>
            <w:r>
              <w:rPr>
                <w:b/>
                <w:bCs/>
                <w:lang w:val="el-GR"/>
              </w:rPr>
              <w:t>15.810</w:t>
            </w:r>
          </w:p>
        </w:tc>
        <w:tc>
          <w:tcPr>
            <w:tcW w:w="254" w:type="dxa"/>
            <w:vAlign w:val="center"/>
          </w:tcPr>
          <w:p w:rsidR="004B417C" w:rsidRDefault="004B417C">
            <w:pPr>
              <w:spacing w:line="240" w:lineRule="auto"/>
              <w:jc w:val="right"/>
              <w:rPr>
                <w:b/>
                <w:bCs/>
                <w:color w:val="FF0000"/>
                <w:lang w:val="el-GR"/>
              </w:rPr>
            </w:pPr>
          </w:p>
        </w:tc>
        <w:tc>
          <w:tcPr>
            <w:tcW w:w="1276" w:type="dxa"/>
            <w:tcBorders>
              <w:top w:val="single" w:sz="4" w:space="0" w:color="auto"/>
              <w:bottom w:val="double" w:sz="4" w:space="0" w:color="auto"/>
            </w:tcBorders>
            <w:vAlign w:val="center"/>
          </w:tcPr>
          <w:p w:rsidR="004B417C" w:rsidRDefault="004B417C">
            <w:pPr>
              <w:spacing w:line="240" w:lineRule="auto"/>
              <w:jc w:val="right"/>
              <w:rPr>
                <w:b/>
                <w:bCs/>
                <w:lang w:val="el-GR"/>
              </w:rPr>
            </w:pPr>
            <w:r>
              <w:rPr>
                <w:b/>
                <w:bCs/>
                <w:lang w:val="el-GR"/>
              </w:rPr>
              <w:t>8.149</w:t>
            </w:r>
          </w:p>
        </w:tc>
      </w:tr>
    </w:tbl>
    <w:p w:rsidR="004B417C" w:rsidRPr="006B1B03" w:rsidRDefault="004B417C" w:rsidP="0061201B">
      <w:pPr>
        <w:pStyle w:val="Heading1"/>
        <w:keepLines/>
        <w:shd w:val="clear" w:color="auto" w:fill="auto"/>
        <w:spacing w:before="130" w:line="280" w:lineRule="atLeast"/>
        <w:rPr>
          <w:szCs w:val="22"/>
          <w:lang w:val="el-GR"/>
        </w:rPr>
      </w:pPr>
      <w:bookmarkStart w:id="25" w:name="_Toc128477841"/>
      <w:r>
        <w:rPr>
          <w:szCs w:val="22"/>
          <w:lang w:val="el-GR"/>
        </w:rPr>
        <w:t>17</w:t>
      </w:r>
      <w:r>
        <w:rPr>
          <w:szCs w:val="22"/>
        </w:rPr>
        <w:t xml:space="preserve"> </w:t>
      </w:r>
      <w:r w:rsidRPr="006B1B03">
        <w:rPr>
          <w:szCs w:val="22"/>
          <w:lang w:val="el-GR"/>
        </w:rPr>
        <w:t>Μετοχικό κεφάλαιο</w:t>
      </w:r>
      <w:bookmarkEnd w:id="25"/>
    </w:p>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lang w:val="el-GR"/>
        </w:rPr>
      </w:pPr>
    </w:p>
    <w:p w:rsidR="004B417C" w:rsidRDefault="004B417C" w:rsidP="00913F0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lang w:val="el-GR"/>
        </w:rPr>
      </w:pPr>
      <w:r>
        <w:rPr>
          <w:lang w:val="el-GR"/>
        </w:rPr>
        <w:t>Το καταβεβλημένο μετοχικό κεφάλαιο της εταιρείας αποτελείται από 17.250.000 ονομαστικές μετοχές με ονομαστική αξία 1,78 ΕΥΡΩ ανά μετοχή.</w:t>
      </w:r>
    </w:p>
    <w:p w:rsidR="004B417C" w:rsidRDefault="004B417C" w:rsidP="00913F06">
      <w:pPr>
        <w:tabs>
          <w:tab w:val="clear" w:pos="227"/>
          <w:tab w:val="clear" w:pos="454"/>
          <w:tab w:val="clear" w:pos="680"/>
          <w:tab w:val="left" w:pos="720"/>
        </w:tabs>
        <w:autoSpaceDE w:val="0"/>
        <w:autoSpaceDN w:val="0"/>
        <w:adjustRightInd w:val="0"/>
        <w:spacing w:line="240" w:lineRule="auto"/>
        <w:ind w:right="360"/>
        <w:jc w:val="both"/>
        <w:rPr>
          <w:lang w:val="el-GR"/>
        </w:rPr>
      </w:pPr>
      <w:r w:rsidRPr="0055172B">
        <w:rPr>
          <w:lang w:val="el-GR"/>
        </w:rPr>
        <w:t>Τα ίδια κεφάλαια της εταιρείας κατά την 31/12/</w:t>
      </w:r>
      <w:r w:rsidRPr="00D74408">
        <w:rPr>
          <w:lang w:val="el-GR"/>
        </w:rPr>
        <w:t>201</w:t>
      </w:r>
      <w:r>
        <w:rPr>
          <w:lang w:val="el-GR"/>
        </w:rPr>
        <w:t>2 έχουν καταστεί</w:t>
      </w:r>
      <w:r w:rsidRPr="00D74408">
        <w:rPr>
          <w:lang w:val="el-GR"/>
        </w:rPr>
        <w:t xml:space="preserve"> αρνητικά (</w:t>
      </w:r>
      <w:r>
        <w:rPr>
          <w:lang w:val="el-GR"/>
        </w:rPr>
        <w:t>126.081) χιλ. ευρώ με συνέπεια να έχουν εφαρμογή τα</w:t>
      </w:r>
      <w:r w:rsidRPr="00D74408">
        <w:rPr>
          <w:lang w:val="el-GR"/>
        </w:rPr>
        <w:t xml:space="preserve"> άρθρο 47</w:t>
      </w:r>
      <w:r>
        <w:rPr>
          <w:lang w:val="el-GR"/>
        </w:rPr>
        <w:t xml:space="preserve"> και 48 του Ν.2190/1920.</w:t>
      </w:r>
    </w:p>
    <w:p w:rsidR="004B417C" w:rsidRPr="00D74408" w:rsidRDefault="004B417C" w:rsidP="00913F06">
      <w:pPr>
        <w:tabs>
          <w:tab w:val="clear" w:pos="227"/>
          <w:tab w:val="clear" w:pos="454"/>
          <w:tab w:val="clear" w:pos="680"/>
          <w:tab w:val="left" w:pos="720"/>
        </w:tabs>
        <w:autoSpaceDE w:val="0"/>
        <w:autoSpaceDN w:val="0"/>
        <w:adjustRightInd w:val="0"/>
        <w:spacing w:line="240" w:lineRule="auto"/>
        <w:ind w:right="360"/>
        <w:jc w:val="both"/>
        <w:rPr>
          <w:lang w:val="el-GR"/>
        </w:rPr>
      </w:pPr>
    </w:p>
    <w:p w:rsidR="004B417C" w:rsidRPr="006B1B03" w:rsidRDefault="004B417C" w:rsidP="0061201B">
      <w:pPr>
        <w:pStyle w:val="Heading1"/>
        <w:keepLines/>
        <w:shd w:val="clear" w:color="auto" w:fill="auto"/>
        <w:spacing w:before="130" w:line="280" w:lineRule="atLeast"/>
        <w:rPr>
          <w:szCs w:val="22"/>
          <w:lang w:val="el-GR"/>
        </w:rPr>
      </w:pPr>
      <w:bookmarkStart w:id="26" w:name="_Toc128477842"/>
      <w:r>
        <w:rPr>
          <w:szCs w:val="22"/>
          <w:lang w:val="el-GR"/>
        </w:rPr>
        <w:t>18</w:t>
      </w:r>
      <w:r>
        <w:rPr>
          <w:szCs w:val="22"/>
        </w:rPr>
        <w:t xml:space="preserve"> </w:t>
      </w:r>
      <w:r w:rsidRPr="006B1B03">
        <w:rPr>
          <w:szCs w:val="22"/>
          <w:lang w:val="el-GR"/>
        </w:rPr>
        <w:t>Αποθεματικά</w:t>
      </w:r>
      <w:bookmarkEnd w:id="26"/>
    </w:p>
    <w:tbl>
      <w:tblPr>
        <w:tblW w:w="7704" w:type="dxa"/>
        <w:tblInd w:w="250" w:type="dxa"/>
        <w:tblLayout w:type="fixed"/>
        <w:tblLook w:val="0000"/>
      </w:tblPr>
      <w:tblGrid>
        <w:gridCol w:w="4898"/>
        <w:gridCol w:w="1276"/>
        <w:gridCol w:w="254"/>
        <w:gridCol w:w="1276"/>
      </w:tblGrid>
      <w:tr w:rsidR="004B417C">
        <w:trPr>
          <w:trHeight w:hRule="exact" w:val="397"/>
        </w:trPr>
        <w:tc>
          <w:tcPr>
            <w:tcW w:w="4898" w:type="dxa"/>
            <w:vAlign w:val="center"/>
          </w:tcPr>
          <w:p w:rsidR="004B417C" w:rsidRDefault="004B417C">
            <w:pPr>
              <w:spacing w:line="240" w:lineRule="auto"/>
              <w:jc w:val="both"/>
              <w:rPr>
                <w:lang w:val="el-GR"/>
              </w:rPr>
            </w:pPr>
          </w:p>
        </w:tc>
        <w:tc>
          <w:tcPr>
            <w:tcW w:w="1276" w:type="dxa"/>
            <w:tcBorders>
              <w:bottom w:val="single" w:sz="4" w:space="0" w:color="auto"/>
            </w:tcBorders>
            <w:vAlign w:val="center"/>
          </w:tcPr>
          <w:p w:rsidR="004B417C" w:rsidRPr="00EB7EF3" w:rsidRDefault="004B417C">
            <w:pPr>
              <w:spacing w:line="240" w:lineRule="auto"/>
              <w:jc w:val="right"/>
              <w:rPr>
                <w:b/>
              </w:rPr>
            </w:pPr>
            <w:r>
              <w:rPr>
                <w:b/>
                <w:lang w:val="el-GR"/>
              </w:rPr>
              <w:t>201</w:t>
            </w:r>
            <w:r>
              <w:rPr>
                <w:b/>
              </w:rPr>
              <w:t>2</w:t>
            </w:r>
          </w:p>
        </w:tc>
        <w:tc>
          <w:tcPr>
            <w:tcW w:w="254" w:type="dxa"/>
            <w:vAlign w:val="center"/>
          </w:tcPr>
          <w:p w:rsidR="004B417C" w:rsidRDefault="004B417C">
            <w:pPr>
              <w:spacing w:line="240" w:lineRule="auto"/>
              <w:jc w:val="right"/>
              <w:rPr>
                <w:b/>
                <w:lang w:val="el-GR"/>
              </w:rPr>
            </w:pPr>
          </w:p>
        </w:tc>
        <w:tc>
          <w:tcPr>
            <w:tcW w:w="1276" w:type="dxa"/>
            <w:tcBorders>
              <w:bottom w:val="single" w:sz="4" w:space="0" w:color="auto"/>
            </w:tcBorders>
            <w:vAlign w:val="center"/>
          </w:tcPr>
          <w:p w:rsidR="004B417C" w:rsidRDefault="004B417C">
            <w:pPr>
              <w:spacing w:line="240" w:lineRule="auto"/>
              <w:jc w:val="right"/>
              <w:rPr>
                <w:b/>
                <w:lang w:val="el-GR"/>
              </w:rPr>
            </w:pPr>
            <w:r>
              <w:rPr>
                <w:b/>
                <w:lang w:val="el-GR"/>
              </w:rPr>
              <w:t>2011</w:t>
            </w:r>
          </w:p>
        </w:tc>
      </w:tr>
      <w:tr w:rsidR="004B417C">
        <w:trPr>
          <w:trHeight w:hRule="exact" w:val="340"/>
        </w:trPr>
        <w:tc>
          <w:tcPr>
            <w:tcW w:w="4898" w:type="dxa"/>
            <w:vAlign w:val="center"/>
          </w:tcPr>
          <w:p w:rsidR="004B417C" w:rsidRDefault="004B417C">
            <w:pPr>
              <w:spacing w:line="240" w:lineRule="auto"/>
              <w:jc w:val="both"/>
              <w:rPr>
                <w:lang w:val="el-GR"/>
              </w:rPr>
            </w:pPr>
          </w:p>
        </w:tc>
        <w:tc>
          <w:tcPr>
            <w:tcW w:w="1276" w:type="dxa"/>
            <w:vAlign w:val="center"/>
          </w:tcPr>
          <w:p w:rsidR="004B417C" w:rsidRDefault="004B417C">
            <w:pPr>
              <w:jc w:val="right"/>
              <w:rPr>
                <w:lang w:val="el-GR"/>
              </w:rPr>
            </w:pPr>
          </w:p>
        </w:tc>
        <w:tc>
          <w:tcPr>
            <w:tcW w:w="254" w:type="dxa"/>
          </w:tcPr>
          <w:p w:rsidR="004B417C" w:rsidRDefault="004B417C">
            <w:pPr>
              <w:jc w:val="right"/>
              <w:rPr>
                <w:lang w:val="el-GR"/>
              </w:rPr>
            </w:pPr>
          </w:p>
        </w:tc>
        <w:tc>
          <w:tcPr>
            <w:tcW w:w="1276" w:type="dxa"/>
            <w:vAlign w:val="center"/>
          </w:tcPr>
          <w:p w:rsidR="004B417C" w:rsidRDefault="004B417C">
            <w:pPr>
              <w:jc w:val="right"/>
              <w:rPr>
                <w:lang w:val="el-GR"/>
              </w:rPr>
            </w:pPr>
          </w:p>
        </w:tc>
      </w:tr>
      <w:tr w:rsidR="004B417C">
        <w:trPr>
          <w:trHeight w:hRule="exact" w:val="340"/>
        </w:trPr>
        <w:tc>
          <w:tcPr>
            <w:tcW w:w="4898" w:type="dxa"/>
            <w:vAlign w:val="center"/>
          </w:tcPr>
          <w:p w:rsidR="004B417C" w:rsidRDefault="004B417C">
            <w:pPr>
              <w:spacing w:line="240" w:lineRule="auto"/>
              <w:jc w:val="both"/>
              <w:rPr>
                <w:lang w:val="el-GR"/>
              </w:rPr>
            </w:pPr>
            <w:r>
              <w:rPr>
                <w:lang w:val="el-GR"/>
              </w:rPr>
              <w:t>Τακτικό αποθεματικό</w:t>
            </w:r>
          </w:p>
        </w:tc>
        <w:tc>
          <w:tcPr>
            <w:tcW w:w="1276" w:type="dxa"/>
            <w:vAlign w:val="center"/>
          </w:tcPr>
          <w:p w:rsidR="004B417C" w:rsidRPr="00F12B42" w:rsidRDefault="004B417C">
            <w:pPr>
              <w:jc w:val="right"/>
              <w:rPr>
                <w:lang w:val="el-GR"/>
              </w:rPr>
            </w:pPr>
            <w:r>
              <w:rPr>
                <w:lang w:val="el-GR"/>
              </w:rPr>
              <w:t>2.392</w:t>
            </w:r>
          </w:p>
        </w:tc>
        <w:tc>
          <w:tcPr>
            <w:tcW w:w="254" w:type="dxa"/>
          </w:tcPr>
          <w:p w:rsidR="004B417C" w:rsidRDefault="004B417C">
            <w:pPr>
              <w:jc w:val="right"/>
              <w:rPr>
                <w:lang w:val="el-GR"/>
              </w:rPr>
            </w:pPr>
          </w:p>
        </w:tc>
        <w:tc>
          <w:tcPr>
            <w:tcW w:w="1276" w:type="dxa"/>
            <w:vAlign w:val="center"/>
          </w:tcPr>
          <w:p w:rsidR="004B417C" w:rsidRDefault="004B417C">
            <w:pPr>
              <w:jc w:val="right"/>
              <w:rPr>
                <w:lang w:val="el-GR"/>
              </w:rPr>
            </w:pPr>
            <w:r>
              <w:rPr>
                <w:lang w:val="el-GR"/>
              </w:rPr>
              <w:t>2.392</w:t>
            </w:r>
          </w:p>
        </w:tc>
      </w:tr>
      <w:tr w:rsidR="004B417C">
        <w:trPr>
          <w:trHeight w:hRule="exact" w:val="340"/>
        </w:trPr>
        <w:tc>
          <w:tcPr>
            <w:tcW w:w="4898" w:type="dxa"/>
            <w:vAlign w:val="center"/>
          </w:tcPr>
          <w:p w:rsidR="004B417C" w:rsidRDefault="004B417C">
            <w:pPr>
              <w:spacing w:line="240" w:lineRule="auto"/>
              <w:jc w:val="both"/>
              <w:rPr>
                <w:lang w:val="el-GR"/>
              </w:rPr>
            </w:pPr>
            <w:r>
              <w:rPr>
                <w:lang w:val="el-GR"/>
              </w:rPr>
              <w:t>Αφορολόγητα αποθεματικά</w:t>
            </w:r>
          </w:p>
        </w:tc>
        <w:tc>
          <w:tcPr>
            <w:tcW w:w="1276" w:type="dxa"/>
            <w:vAlign w:val="center"/>
          </w:tcPr>
          <w:p w:rsidR="004B417C" w:rsidRPr="00D2615A" w:rsidRDefault="004B417C">
            <w:pPr>
              <w:spacing w:line="240" w:lineRule="auto"/>
              <w:jc w:val="right"/>
              <w:rPr>
                <w:lang w:val="el-GR"/>
              </w:rPr>
            </w:pPr>
            <w:r>
              <w:rPr>
                <w:lang w:val="el-GR"/>
              </w:rPr>
              <w:t>3.100</w:t>
            </w:r>
          </w:p>
        </w:tc>
        <w:tc>
          <w:tcPr>
            <w:tcW w:w="254" w:type="dxa"/>
            <w:vAlign w:val="center"/>
          </w:tcPr>
          <w:p w:rsidR="004B417C" w:rsidRDefault="004B417C">
            <w:pPr>
              <w:spacing w:line="240" w:lineRule="auto"/>
              <w:jc w:val="right"/>
              <w:rPr>
                <w:lang w:val="el-GR"/>
              </w:rPr>
            </w:pPr>
          </w:p>
        </w:tc>
        <w:tc>
          <w:tcPr>
            <w:tcW w:w="1276" w:type="dxa"/>
            <w:vAlign w:val="center"/>
          </w:tcPr>
          <w:p w:rsidR="004B417C" w:rsidRDefault="004B417C">
            <w:pPr>
              <w:jc w:val="right"/>
              <w:rPr>
                <w:lang w:val="el-GR"/>
              </w:rPr>
            </w:pPr>
            <w:r>
              <w:rPr>
                <w:lang w:val="el-GR"/>
              </w:rPr>
              <w:t>3.100</w:t>
            </w:r>
          </w:p>
        </w:tc>
      </w:tr>
      <w:tr w:rsidR="004B417C">
        <w:trPr>
          <w:trHeight w:hRule="exact" w:val="340"/>
        </w:trPr>
        <w:tc>
          <w:tcPr>
            <w:tcW w:w="4898" w:type="dxa"/>
            <w:vAlign w:val="center"/>
          </w:tcPr>
          <w:p w:rsidR="004B417C" w:rsidRDefault="004B417C">
            <w:pPr>
              <w:spacing w:line="240" w:lineRule="auto"/>
              <w:jc w:val="both"/>
              <w:rPr>
                <w:lang w:val="el-GR"/>
              </w:rPr>
            </w:pPr>
            <w:r>
              <w:rPr>
                <w:lang w:val="el-GR"/>
              </w:rPr>
              <w:t>Αποθεματικό χρεογράφων διαθέσιμων προς πώληση</w:t>
            </w:r>
          </w:p>
        </w:tc>
        <w:tc>
          <w:tcPr>
            <w:tcW w:w="1276" w:type="dxa"/>
            <w:vAlign w:val="center"/>
          </w:tcPr>
          <w:p w:rsidR="004B417C" w:rsidRPr="00EB7EF3" w:rsidRDefault="004B417C">
            <w:pPr>
              <w:jc w:val="right"/>
            </w:pPr>
            <w:r>
              <w:t>(1.122)</w:t>
            </w:r>
          </w:p>
        </w:tc>
        <w:tc>
          <w:tcPr>
            <w:tcW w:w="254" w:type="dxa"/>
            <w:vAlign w:val="center"/>
          </w:tcPr>
          <w:p w:rsidR="004B417C" w:rsidRDefault="004B417C">
            <w:pPr>
              <w:spacing w:line="240" w:lineRule="auto"/>
              <w:jc w:val="right"/>
              <w:rPr>
                <w:lang w:val="el-GR"/>
              </w:rPr>
            </w:pPr>
          </w:p>
        </w:tc>
        <w:tc>
          <w:tcPr>
            <w:tcW w:w="1276" w:type="dxa"/>
            <w:vAlign w:val="center"/>
          </w:tcPr>
          <w:p w:rsidR="004B417C" w:rsidRDefault="004B417C">
            <w:pPr>
              <w:spacing w:line="240" w:lineRule="auto"/>
              <w:jc w:val="right"/>
              <w:rPr>
                <w:lang w:val="el-GR"/>
              </w:rPr>
            </w:pPr>
            <w:r>
              <w:rPr>
                <w:lang w:val="el-GR"/>
              </w:rPr>
              <w:t>(1.502)</w:t>
            </w:r>
          </w:p>
        </w:tc>
      </w:tr>
      <w:tr w:rsidR="004B417C">
        <w:trPr>
          <w:trHeight w:hRule="exact" w:val="340"/>
        </w:trPr>
        <w:tc>
          <w:tcPr>
            <w:tcW w:w="4898" w:type="dxa"/>
            <w:vAlign w:val="center"/>
          </w:tcPr>
          <w:p w:rsidR="004B417C" w:rsidRDefault="004B417C">
            <w:pPr>
              <w:spacing w:line="240" w:lineRule="auto"/>
              <w:jc w:val="both"/>
              <w:rPr>
                <w:color w:val="FF0000"/>
                <w:lang w:val="el-GR"/>
              </w:rPr>
            </w:pPr>
          </w:p>
        </w:tc>
        <w:tc>
          <w:tcPr>
            <w:tcW w:w="1276" w:type="dxa"/>
            <w:tcBorders>
              <w:top w:val="single" w:sz="4" w:space="0" w:color="auto"/>
              <w:bottom w:val="double" w:sz="4" w:space="0" w:color="auto"/>
            </w:tcBorders>
            <w:vAlign w:val="center"/>
          </w:tcPr>
          <w:p w:rsidR="004B417C" w:rsidRPr="009A5893" w:rsidRDefault="004B417C">
            <w:pPr>
              <w:spacing w:line="240" w:lineRule="auto"/>
              <w:jc w:val="right"/>
              <w:rPr>
                <w:b/>
                <w:bCs/>
              </w:rPr>
            </w:pPr>
            <w:r>
              <w:rPr>
                <w:b/>
                <w:bCs/>
                <w:lang w:val="el-GR"/>
              </w:rPr>
              <w:t>4.370</w:t>
            </w:r>
          </w:p>
        </w:tc>
        <w:tc>
          <w:tcPr>
            <w:tcW w:w="254" w:type="dxa"/>
            <w:vAlign w:val="center"/>
          </w:tcPr>
          <w:p w:rsidR="004B417C" w:rsidRDefault="004B417C">
            <w:pPr>
              <w:spacing w:line="240" w:lineRule="auto"/>
              <w:jc w:val="right"/>
              <w:rPr>
                <w:b/>
                <w:bCs/>
                <w:color w:val="FF0000"/>
                <w:lang w:val="el-GR"/>
              </w:rPr>
            </w:pPr>
          </w:p>
        </w:tc>
        <w:tc>
          <w:tcPr>
            <w:tcW w:w="1276" w:type="dxa"/>
            <w:tcBorders>
              <w:top w:val="single" w:sz="4" w:space="0" w:color="auto"/>
              <w:bottom w:val="double" w:sz="4" w:space="0" w:color="auto"/>
            </w:tcBorders>
            <w:vAlign w:val="center"/>
          </w:tcPr>
          <w:p w:rsidR="004B417C" w:rsidRDefault="004B417C">
            <w:pPr>
              <w:spacing w:line="240" w:lineRule="auto"/>
              <w:jc w:val="right"/>
              <w:rPr>
                <w:b/>
                <w:bCs/>
                <w:lang w:val="el-GR"/>
              </w:rPr>
            </w:pPr>
            <w:r>
              <w:rPr>
                <w:b/>
                <w:bCs/>
                <w:lang w:val="el-GR"/>
              </w:rPr>
              <w:t>3.990</w:t>
            </w:r>
          </w:p>
        </w:tc>
      </w:tr>
    </w:tbl>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lang w:val="el-GR"/>
        </w:rPr>
      </w:pPr>
    </w:p>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lang w:val="el-GR"/>
        </w:rPr>
      </w:pPr>
    </w:p>
    <w:p w:rsidR="004B417C" w:rsidRDefault="004B417C" w:rsidP="00913F0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lang w:val="el-GR"/>
        </w:rPr>
      </w:pPr>
      <w:r>
        <w:rPr>
          <w:i/>
          <w:lang w:val="el-GR"/>
        </w:rPr>
        <w:t>Τακτικό αποθεματικό</w:t>
      </w:r>
      <w:r>
        <w:rPr>
          <w:lang w:val="el-GR"/>
        </w:rPr>
        <w:t xml:space="preserve">:  Σύμφωνα με την Ελληνική εμπορική νομοθεσία η Εταιρεία είναι υποχρεωμένη να παρακρατεί από τα καθαρά λογιστικά της κέρδη ελάχιστο ποσοστό 5% ετησίως ως τακτικό αποθεματικό.  Η παρακράτηση παύει να είναι υποχρεωτική όταν το σύνολο του τακτικού αποθεματικού υπερβεί το 1/3 του καταβεβλημένου μετοχικού κεφαλαίου.  Το αποθεματικό αυτό το οποίο είναι φορολογημένο δεν μπορεί να διανεμηθεί καθ’ όλη τη διάρκεια ζωής της εταιρείας και προορίζεται για την κάλυψη τυχόν χρεωστικού υπολοίπου του λογαριασμού κερδών και ζημιών εις νέον. </w:t>
      </w:r>
    </w:p>
    <w:p w:rsidR="004B417C" w:rsidRDefault="004B417C" w:rsidP="00913F0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lang w:val="el-GR"/>
        </w:rPr>
      </w:pPr>
    </w:p>
    <w:p w:rsidR="004B417C" w:rsidRDefault="004B417C" w:rsidP="00913F0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lang w:val="el-GR"/>
        </w:rPr>
      </w:pPr>
      <w:r>
        <w:rPr>
          <w:i/>
          <w:lang w:val="el-GR"/>
        </w:rPr>
        <w:t>Αφορολόγητα αποθεματικά</w:t>
      </w:r>
      <w:r>
        <w:rPr>
          <w:lang w:val="el-GR"/>
        </w:rPr>
        <w:t>: Τα αφορολόγητα αποθεματικά έχουν σχηματιστεί βάσει ειδικών διατάξεων νόμων, τα οποία η Εταιρεία δεν προτίθεται να διανείμει εντός των επόμενων χρήσεων. Για τα αποθεματικά αυτά, σύμφωνα με τα οριζόμενα στο σχετικό πρότυπο ΔΛΠ 12, δεν υπολογίστηκε αναβαλλόμενος φόρος. Σε περίπτωση διανομής τους θα φορολογηθούν με τον ισχύοντα τότε φορολογικό συντελεστή.</w:t>
      </w:r>
    </w:p>
    <w:p w:rsidR="00E021D0" w:rsidRDefault="00E021D0" w:rsidP="00913F0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lang w:val="el-GR"/>
        </w:rPr>
      </w:pPr>
    </w:p>
    <w:p w:rsidR="004B417C" w:rsidRDefault="004B417C" w:rsidP="00913F0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lang w:val="el-GR"/>
        </w:rPr>
      </w:pPr>
    </w:p>
    <w:p w:rsidR="004B417C" w:rsidRPr="006B1B03" w:rsidRDefault="004B417C" w:rsidP="0061201B">
      <w:pPr>
        <w:pStyle w:val="Heading1"/>
        <w:keepLines/>
        <w:shd w:val="clear" w:color="auto" w:fill="auto"/>
        <w:spacing w:before="130" w:line="280" w:lineRule="atLeast"/>
        <w:rPr>
          <w:szCs w:val="22"/>
          <w:lang w:val="el-GR"/>
        </w:rPr>
      </w:pPr>
      <w:bookmarkStart w:id="27" w:name="_Toc128477840"/>
      <w:r>
        <w:rPr>
          <w:szCs w:val="22"/>
          <w:lang w:val="el-GR"/>
        </w:rPr>
        <w:lastRenderedPageBreak/>
        <w:t>19</w:t>
      </w:r>
      <w:r w:rsidRPr="009F79F6">
        <w:rPr>
          <w:szCs w:val="22"/>
          <w:lang w:val="el-GR"/>
        </w:rPr>
        <w:t xml:space="preserve"> </w:t>
      </w:r>
      <w:r w:rsidRPr="006B1B03">
        <w:rPr>
          <w:szCs w:val="22"/>
          <w:lang w:val="el-GR"/>
        </w:rPr>
        <w:t>Ενδεχόμενες υποχρεώσεις</w:t>
      </w:r>
      <w:bookmarkEnd w:id="27"/>
      <w:r w:rsidRPr="006B1B03">
        <w:rPr>
          <w:szCs w:val="22"/>
          <w:lang w:val="el-GR"/>
        </w:rPr>
        <w:t xml:space="preserve"> και δεσμεύσεις</w:t>
      </w:r>
    </w:p>
    <w:p w:rsidR="004B417C" w:rsidRDefault="004B417C">
      <w:pPr>
        <w:pStyle w:val="Heading1"/>
        <w:rPr>
          <w:lang w:val="el-GR"/>
        </w:rPr>
      </w:pPr>
    </w:p>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lang w:val="el-GR"/>
        </w:rPr>
      </w:pPr>
      <w:r>
        <w:rPr>
          <w:i/>
          <w:lang w:val="el-GR"/>
        </w:rPr>
        <w:t>Δικαστικές υποθέσεις</w:t>
      </w:r>
      <w:r>
        <w:rPr>
          <w:lang w:val="el-GR"/>
        </w:rPr>
        <w:t xml:space="preserve">: </w:t>
      </w:r>
    </w:p>
    <w:p w:rsidR="004B417C" w:rsidRDefault="004B417C" w:rsidP="00311D5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rPr>
          <w:highlight w:val="cyan"/>
          <w:lang w:val="el-GR"/>
        </w:rPr>
      </w:pPr>
    </w:p>
    <w:p w:rsidR="004B417C" w:rsidRDefault="004B417C" w:rsidP="00913F0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lang w:val="el-GR"/>
        </w:rPr>
      </w:pPr>
      <w:r>
        <w:rPr>
          <w:lang w:val="el-GR"/>
        </w:rPr>
        <w:t>Στα πλαίσια των εργασιών της, η Εταιρεία ενδέχεται να βρεθεί αντιμέτωπη με πιθανές νομικές διεκδικήσεις από τρίτους. Για όλες τις περιπτώσεις που κρίθηκε απαραίτητο σχηματίσθηκαν ανάλογες προβλέψεις. Σύμφωνα, τόσο με τη Διοίκηση, όσο και με τους συνεργαζόμενους νομικούς συμβούλους, οι όποιες διεκδικήσεις αυτής της μορφής δεν αναμένεται να έχουν σημαντική επίπτωση στην λειτουργία και οικονομική θέση της Εταιρείας. Σχετικά με τις νομικές υποθέσεις όπου η Εταιρεία έχει ασκήσει αγωγές σε τρίτους (καταγγελμένες συμβάσεις) και απαιτεί την επιστροφή του εξοπλισμού και την είσπραξη των τιμολογηθέντων μισθωμάτων έχει γίνει εκτίμηση της πιθανής ζημίας και έχει σχημα</w:t>
      </w:r>
      <w:r w:rsidR="006A193F">
        <w:rPr>
          <w:lang w:val="el-GR"/>
        </w:rPr>
        <w:t>τισθεί ανάλογη πρόβλεψη (σημ. 9</w:t>
      </w:r>
      <w:r>
        <w:rPr>
          <w:lang w:val="el-GR"/>
        </w:rPr>
        <w:t xml:space="preserve">.1).  </w:t>
      </w:r>
    </w:p>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lang w:val="el-GR"/>
        </w:rPr>
      </w:pPr>
    </w:p>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lang w:val="el-GR"/>
        </w:rPr>
      </w:pPr>
      <w:r>
        <w:rPr>
          <w:i/>
          <w:lang w:val="el-GR"/>
        </w:rPr>
        <w:t>Φορολογικά θέματα</w:t>
      </w:r>
      <w:r>
        <w:rPr>
          <w:lang w:val="el-GR"/>
        </w:rPr>
        <w:t>:</w:t>
      </w:r>
    </w:p>
    <w:p w:rsidR="004B417C" w:rsidRPr="00915E21" w:rsidRDefault="004B417C" w:rsidP="00913F0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lang w:val="el-GR"/>
        </w:rPr>
      </w:pPr>
    </w:p>
    <w:p w:rsidR="004B417C" w:rsidRPr="00E53CD4" w:rsidRDefault="004B417C" w:rsidP="00E53CD4">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lang w:val="el-GR"/>
        </w:rPr>
      </w:pPr>
      <w:r>
        <w:rPr>
          <w:lang w:val="el-GR"/>
        </w:rPr>
        <w:t xml:space="preserve">Η Εταιρεία δεν έχει ελεγχθεί από τις φορολογικές αρχές για τις χρήσεις από 2008 έως και 2011. </w:t>
      </w:r>
      <w:r>
        <w:rPr>
          <w:bCs/>
          <w:lang w:val="el-GR"/>
        </w:rPr>
        <w:t>Στα πλαίσια αυτά και εκτιμώντας την πιθανότητα επιβολής πρόσθετων φόρων και προσαυξήσεων η Εταιρεία έχει σχηματίσει σχετική πρόβλεψη η οποία κατά την εκτίμηση της Διοίκησης της Εταιρείας κρίνεται ως επαρκής.</w:t>
      </w:r>
    </w:p>
    <w:p w:rsidR="004B417C" w:rsidRDefault="004B417C" w:rsidP="00C02EBD">
      <w:pPr>
        <w:pStyle w:val="Heading1"/>
        <w:keepLines/>
        <w:shd w:val="clear" w:color="auto" w:fill="auto"/>
        <w:spacing w:before="130" w:line="280" w:lineRule="atLeast"/>
        <w:rPr>
          <w:szCs w:val="22"/>
          <w:lang w:val="el-GR"/>
        </w:rPr>
      </w:pPr>
      <w:bookmarkStart w:id="28" w:name="_Toc128477846"/>
      <w:r>
        <w:rPr>
          <w:szCs w:val="22"/>
          <w:lang w:val="el-GR"/>
        </w:rPr>
        <w:t>20</w:t>
      </w:r>
      <w:r w:rsidRPr="009F79F6">
        <w:rPr>
          <w:szCs w:val="22"/>
          <w:lang w:val="el-GR"/>
        </w:rPr>
        <w:t xml:space="preserve"> </w:t>
      </w:r>
      <w:r w:rsidRPr="006B1B03">
        <w:rPr>
          <w:szCs w:val="22"/>
          <w:lang w:val="el-GR"/>
        </w:rPr>
        <w:t>Συναλλαγές σε συνδεδεμένα μέρη</w:t>
      </w:r>
      <w:bookmarkEnd w:id="28"/>
    </w:p>
    <w:p w:rsidR="004B417C" w:rsidRPr="00C02EBD" w:rsidRDefault="004B417C" w:rsidP="00C02EBD">
      <w:pPr>
        <w:rPr>
          <w:lang w:val="el-GR"/>
        </w:rPr>
      </w:pPr>
    </w:p>
    <w:p w:rsidR="004B417C" w:rsidRPr="00E56A88"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both"/>
        <w:rPr>
          <w:lang w:val="el-GR"/>
        </w:rPr>
      </w:pPr>
      <w:r>
        <w:rPr>
          <w:lang w:val="el-GR"/>
        </w:rPr>
        <w:t>Η εταιρεία θεωρεί ως συνδεδεμένα μέρη τις εταιρείες του Ομίλου της υπό εκκαθάριση ΑΤΕ και τα μέλη του Διοικητικού Συμβουλίου και της Διοικήσεως.</w:t>
      </w:r>
    </w:p>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both"/>
        <w:rPr>
          <w:lang w:val="el-GR"/>
        </w:rPr>
      </w:pPr>
    </w:p>
    <w:tbl>
      <w:tblPr>
        <w:tblpPr w:leftFromText="180" w:rightFromText="180" w:vertAnchor="text" w:horzAnchor="margin" w:tblpXSpec="center" w:tblpY="172"/>
        <w:tblW w:w="6962" w:type="dxa"/>
        <w:tblLook w:val="0000"/>
      </w:tblPr>
      <w:tblGrid>
        <w:gridCol w:w="4638"/>
        <w:gridCol w:w="236"/>
        <w:gridCol w:w="828"/>
        <w:gridCol w:w="300"/>
        <w:gridCol w:w="960"/>
      </w:tblGrid>
      <w:tr w:rsidR="004B417C" w:rsidRPr="008561EC">
        <w:trPr>
          <w:trHeight w:val="255"/>
        </w:trPr>
        <w:tc>
          <w:tcPr>
            <w:tcW w:w="4638" w:type="dxa"/>
            <w:tcBorders>
              <w:top w:val="nil"/>
              <w:left w:val="nil"/>
              <w:bottom w:val="nil"/>
              <w:right w:val="nil"/>
            </w:tcBorders>
            <w:noWrap/>
            <w:vAlign w:val="bottom"/>
          </w:tcPr>
          <w:p w:rsidR="004B417C" w:rsidRPr="005A0B02"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szCs w:val="22"/>
                <w:lang w:val="el-GR"/>
              </w:rPr>
            </w:pPr>
          </w:p>
        </w:tc>
        <w:tc>
          <w:tcPr>
            <w:tcW w:w="236" w:type="dxa"/>
            <w:tcBorders>
              <w:top w:val="nil"/>
              <w:left w:val="nil"/>
              <w:bottom w:val="nil"/>
              <w:right w:val="nil"/>
            </w:tcBorders>
            <w:noWrap/>
            <w:vAlign w:val="bottom"/>
          </w:tcPr>
          <w:p w:rsidR="004B417C" w:rsidRPr="005A0B02"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szCs w:val="22"/>
                <w:lang w:val="el-GR"/>
              </w:rPr>
            </w:pPr>
          </w:p>
        </w:tc>
        <w:tc>
          <w:tcPr>
            <w:tcW w:w="828" w:type="dxa"/>
            <w:tcBorders>
              <w:top w:val="nil"/>
              <w:left w:val="nil"/>
              <w:bottom w:val="single" w:sz="4" w:space="0" w:color="auto"/>
              <w:right w:val="nil"/>
            </w:tcBorders>
            <w:noWrap/>
            <w:vAlign w:val="bottom"/>
          </w:tcPr>
          <w:p w:rsidR="004B417C" w:rsidRPr="005A0B02"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b/>
                <w:bCs/>
                <w:szCs w:val="22"/>
                <w:lang w:val="el-GR"/>
              </w:rPr>
            </w:pPr>
            <w:r w:rsidRPr="005A0B02">
              <w:rPr>
                <w:b/>
                <w:bCs/>
                <w:szCs w:val="22"/>
                <w:lang w:val="el-GR"/>
              </w:rPr>
              <w:t>2012</w:t>
            </w:r>
          </w:p>
        </w:tc>
        <w:tc>
          <w:tcPr>
            <w:tcW w:w="300" w:type="dxa"/>
            <w:tcBorders>
              <w:top w:val="nil"/>
              <w:left w:val="nil"/>
              <w:bottom w:val="nil"/>
              <w:right w:val="nil"/>
            </w:tcBorders>
            <w:noWrap/>
            <w:vAlign w:val="bottom"/>
          </w:tcPr>
          <w:p w:rsidR="004B417C" w:rsidRPr="005A0B02"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b/>
                <w:bCs/>
                <w:szCs w:val="22"/>
              </w:rPr>
            </w:pPr>
          </w:p>
        </w:tc>
        <w:tc>
          <w:tcPr>
            <w:tcW w:w="960" w:type="dxa"/>
            <w:tcBorders>
              <w:top w:val="nil"/>
              <w:left w:val="nil"/>
              <w:bottom w:val="single" w:sz="4" w:space="0" w:color="auto"/>
              <w:right w:val="nil"/>
            </w:tcBorders>
            <w:noWrap/>
            <w:vAlign w:val="bottom"/>
          </w:tcPr>
          <w:p w:rsidR="004B417C" w:rsidRPr="005A0B02"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b/>
                <w:bCs/>
                <w:szCs w:val="22"/>
                <w:lang w:val="el-GR"/>
              </w:rPr>
            </w:pPr>
            <w:r w:rsidRPr="005A0B02">
              <w:rPr>
                <w:b/>
                <w:bCs/>
                <w:szCs w:val="22"/>
                <w:lang w:val="el-GR"/>
              </w:rPr>
              <w:t>2011</w:t>
            </w:r>
          </w:p>
        </w:tc>
      </w:tr>
      <w:tr w:rsidR="004B417C" w:rsidRPr="008561EC">
        <w:trPr>
          <w:trHeight w:val="255"/>
        </w:trPr>
        <w:tc>
          <w:tcPr>
            <w:tcW w:w="4638" w:type="dxa"/>
            <w:tcBorders>
              <w:top w:val="nil"/>
              <w:left w:val="nil"/>
              <w:bottom w:val="nil"/>
              <w:right w:val="nil"/>
            </w:tcBorders>
            <w:noWrap/>
            <w:vAlign w:val="bottom"/>
          </w:tcPr>
          <w:p w:rsidR="004B417C" w:rsidRPr="005A0B02"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b/>
                <w:bCs/>
                <w:szCs w:val="22"/>
              </w:rPr>
            </w:pPr>
            <w:r w:rsidRPr="005A0B02">
              <w:rPr>
                <w:b/>
                <w:bCs/>
                <w:szCs w:val="22"/>
              </w:rPr>
              <w:t>Συναλλ</w:t>
            </w:r>
            <w:r w:rsidRPr="005A0B02">
              <w:rPr>
                <w:b/>
                <w:bCs/>
                <w:szCs w:val="22"/>
                <w:lang w:val="el-GR"/>
              </w:rPr>
              <w:t>αγέ</w:t>
            </w:r>
            <w:r w:rsidRPr="005A0B02">
              <w:rPr>
                <w:b/>
                <w:bCs/>
                <w:szCs w:val="22"/>
              </w:rPr>
              <w:t>ς με συνδεδεμένες επιχειρήσεις</w:t>
            </w:r>
          </w:p>
        </w:tc>
        <w:tc>
          <w:tcPr>
            <w:tcW w:w="236" w:type="dxa"/>
            <w:tcBorders>
              <w:top w:val="nil"/>
              <w:left w:val="nil"/>
              <w:bottom w:val="nil"/>
              <w:right w:val="nil"/>
            </w:tcBorders>
            <w:noWrap/>
            <w:vAlign w:val="bottom"/>
          </w:tcPr>
          <w:p w:rsidR="004B417C" w:rsidRPr="005A0B02"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szCs w:val="22"/>
              </w:rPr>
            </w:pPr>
          </w:p>
        </w:tc>
        <w:tc>
          <w:tcPr>
            <w:tcW w:w="828" w:type="dxa"/>
            <w:tcBorders>
              <w:top w:val="single" w:sz="4" w:space="0" w:color="auto"/>
              <w:left w:val="nil"/>
              <w:bottom w:val="nil"/>
              <w:right w:val="nil"/>
            </w:tcBorders>
            <w:noWrap/>
            <w:vAlign w:val="bottom"/>
          </w:tcPr>
          <w:p w:rsidR="004B417C" w:rsidRPr="005A0B02"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szCs w:val="22"/>
              </w:rPr>
            </w:pPr>
          </w:p>
        </w:tc>
        <w:tc>
          <w:tcPr>
            <w:tcW w:w="300" w:type="dxa"/>
            <w:tcBorders>
              <w:top w:val="nil"/>
              <w:left w:val="nil"/>
              <w:bottom w:val="nil"/>
              <w:right w:val="nil"/>
            </w:tcBorders>
            <w:noWrap/>
            <w:vAlign w:val="bottom"/>
          </w:tcPr>
          <w:p w:rsidR="004B417C" w:rsidRPr="005A0B02"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szCs w:val="22"/>
              </w:rPr>
            </w:pPr>
          </w:p>
        </w:tc>
        <w:tc>
          <w:tcPr>
            <w:tcW w:w="960" w:type="dxa"/>
            <w:tcBorders>
              <w:top w:val="single" w:sz="4" w:space="0" w:color="auto"/>
              <w:left w:val="nil"/>
              <w:bottom w:val="nil"/>
              <w:right w:val="nil"/>
            </w:tcBorders>
            <w:noWrap/>
            <w:vAlign w:val="bottom"/>
          </w:tcPr>
          <w:p w:rsidR="004B417C" w:rsidRPr="005A0B02"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szCs w:val="22"/>
              </w:rPr>
            </w:pPr>
          </w:p>
        </w:tc>
      </w:tr>
      <w:tr w:rsidR="004B417C" w:rsidRPr="008561EC">
        <w:trPr>
          <w:trHeight w:val="255"/>
        </w:trPr>
        <w:tc>
          <w:tcPr>
            <w:tcW w:w="4638" w:type="dxa"/>
            <w:tcBorders>
              <w:top w:val="nil"/>
              <w:left w:val="nil"/>
              <w:bottom w:val="nil"/>
              <w:right w:val="nil"/>
            </w:tcBorders>
            <w:noWrap/>
            <w:vAlign w:val="bottom"/>
          </w:tcPr>
          <w:p w:rsidR="004B417C" w:rsidRPr="005A0B02"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szCs w:val="22"/>
                <w:lang w:val="el-GR"/>
              </w:rPr>
            </w:pPr>
            <w:r w:rsidRPr="005A0B02">
              <w:rPr>
                <w:szCs w:val="22"/>
                <w:lang w:val="el-GR"/>
              </w:rPr>
              <w:t>Απαιτήσεις</w:t>
            </w:r>
          </w:p>
        </w:tc>
        <w:tc>
          <w:tcPr>
            <w:tcW w:w="236" w:type="dxa"/>
            <w:tcBorders>
              <w:top w:val="nil"/>
              <w:left w:val="nil"/>
              <w:bottom w:val="nil"/>
              <w:right w:val="nil"/>
            </w:tcBorders>
            <w:noWrap/>
            <w:vAlign w:val="bottom"/>
          </w:tcPr>
          <w:p w:rsidR="004B417C" w:rsidRPr="005A0B02"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szCs w:val="22"/>
              </w:rPr>
            </w:pPr>
          </w:p>
        </w:tc>
        <w:tc>
          <w:tcPr>
            <w:tcW w:w="828" w:type="dxa"/>
            <w:tcBorders>
              <w:top w:val="nil"/>
              <w:left w:val="nil"/>
              <w:bottom w:val="nil"/>
              <w:right w:val="nil"/>
            </w:tcBorders>
            <w:noWrap/>
            <w:vAlign w:val="bottom"/>
          </w:tcPr>
          <w:p w:rsidR="004B417C" w:rsidRPr="005A0B02"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Cs w:val="22"/>
                <w:lang w:val="el-GR"/>
              </w:rPr>
            </w:pPr>
            <w:r w:rsidRPr="005A0B02">
              <w:rPr>
                <w:szCs w:val="22"/>
                <w:lang w:val="el-GR"/>
              </w:rPr>
              <w:t>-</w:t>
            </w:r>
          </w:p>
        </w:tc>
        <w:tc>
          <w:tcPr>
            <w:tcW w:w="300" w:type="dxa"/>
            <w:tcBorders>
              <w:top w:val="nil"/>
              <w:left w:val="nil"/>
              <w:bottom w:val="nil"/>
              <w:right w:val="nil"/>
            </w:tcBorders>
            <w:noWrap/>
            <w:vAlign w:val="bottom"/>
          </w:tcPr>
          <w:p w:rsidR="004B417C" w:rsidRPr="005A0B02"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szCs w:val="22"/>
              </w:rPr>
            </w:pPr>
          </w:p>
        </w:tc>
        <w:tc>
          <w:tcPr>
            <w:tcW w:w="960" w:type="dxa"/>
            <w:tcBorders>
              <w:top w:val="nil"/>
              <w:left w:val="nil"/>
              <w:bottom w:val="nil"/>
              <w:right w:val="nil"/>
            </w:tcBorders>
            <w:noWrap/>
            <w:vAlign w:val="bottom"/>
          </w:tcPr>
          <w:p w:rsidR="004B417C" w:rsidRPr="005A0B02"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Cs w:val="22"/>
                <w:lang w:val="el-GR"/>
              </w:rPr>
            </w:pPr>
            <w:r w:rsidRPr="005A0B02">
              <w:rPr>
                <w:szCs w:val="22"/>
                <w:lang w:val="el-GR"/>
              </w:rPr>
              <w:t>119.158</w:t>
            </w:r>
          </w:p>
        </w:tc>
      </w:tr>
      <w:tr w:rsidR="004B417C" w:rsidRPr="008561EC">
        <w:trPr>
          <w:trHeight w:val="255"/>
        </w:trPr>
        <w:tc>
          <w:tcPr>
            <w:tcW w:w="4638" w:type="dxa"/>
            <w:tcBorders>
              <w:top w:val="nil"/>
              <w:left w:val="nil"/>
              <w:bottom w:val="nil"/>
              <w:right w:val="nil"/>
            </w:tcBorders>
            <w:noWrap/>
            <w:vAlign w:val="bottom"/>
          </w:tcPr>
          <w:p w:rsidR="004B417C" w:rsidRPr="005A0B02"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szCs w:val="22"/>
                <w:lang w:val="el-GR"/>
              </w:rPr>
            </w:pPr>
            <w:r w:rsidRPr="005A0B02">
              <w:rPr>
                <w:szCs w:val="22"/>
                <w:lang w:val="el-GR"/>
              </w:rPr>
              <w:t>Υποχρεώσεις</w:t>
            </w:r>
          </w:p>
        </w:tc>
        <w:tc>
          <w:tcPr>
            <w:tcW w:w="236" w:type="dxa"/>
            <w:tcBorders>
              <w:top w:val="nil"/>
              <w:left w:val="nil"/>
              <w:bottom w:val="nil"/>
              <w:right w:val="nil"/>
            </w:tcBorders>
            <w:noWrap/>
            <w:vAlign w:val="bottom"/>
          </w:tcPr>
          <w:p w:rsidR="004B417C" w:rsidRPr="005A0B02"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szCs w:val="22"/>
              </w:rPr>
            </w:pPr>
          </w:p>
        </w:tc>
        <w:tc>
          <w:tcPr>
            <w:tcW w:w="828" w:type="dxa"/>
            <w:tcBorders>
              <w:top w:val="nil"/>
              <w:left w:val="nil"/>
              <w:bottom w:val="nil"/>
              <w:right w:val="nil"/>
            </w:tcBorders>
            <w:noWrap/>
            <w:vAlign w:val="bottom"/>
          </w:tcPr>
          <w:p w:rsidR="004B417C" w:rsidRPr="005A0B02"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Cs w:val="22"/>
                <w:lang w:val="el-GR"/>
              </w:rPr>
            </w:pPr>
            <w:r w:rsidRPr="005A0B02">
              <w:rPr>
                <w:szCs w:val="22"/>
                <w:lang w:val="el-GR"/>
              </w:rPr>
              <w:t>-</w:t>
            </w:r>
          </w:p>
        </w:tc>
        <w:tc>
          <w:tcPr>
            <w:tcW w:w="300" w:type="dxa"/>
            <w:tcBorders>
              <w:top w:val="nil"/>
              <w:left w:val="nil"/>
              <w:bottom w:val="nil"/>
              <w:right w:val="nil"/>
            </w:tcBorders>
            <w:noWrap/>
            <w:vAlign w:val="bottom"/>
          </w:tcPr>
          <w:p w:rsidR="004B417C" w:rsidRPr="005A0B02"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szCs w:val="22"/>
              </w:rPr>
            </w:pPr>
          </w:p>
        </w:tc>
        <w:tc>
          <w:tcPr>
            <w:tcW w:w="960" w:type="dxa"/>
            <w:tcBorders>
              <w:top w:val="nil"/>
              <w:left w:val="nil"/>
              <w:bottom w:val="nil"/>
              <w:right w:val="nil"/>
            </w:tcBorders>
            <w:noWrap/>
            <w:vAlign w:val="bottom"/>
          </w:tcPr>
          <w:p w:rsidR="004B417C" w:rsidRPr="005A0B02"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Cs w:val="22"/>
                <w:lang w:val="el-GR"/>
              </w:rPr>
            </w:pPr>
            <w:r w:rsidRPr="005A0B02">
              <w:rPr>
                <w:szCs w:val="22"/>
                <w:lang w:val="el-GR"/>
              </w:rPr>
              <w:t>430.626</w:t>
            </w:r>
          </w:p>
        </w:tc>
      </w:tr>
      <w:tr w:rsidR="004B417C" w:rsidRPr="008561EC">
        <w:trPr>
          <w:trHeight w:val="255"/>
        </w:trPr>
        <w:tc>
          <w:tcPr>
            <w:tcW w:w="4638" w:type="dxa"/>
            <w:tcBorders>
              <w:top w:val="nil"/>
              <w:left w:val="nil"/>
              <w:bottom w:val="nil"/>
              <w:right w:val="nil"/>
            </w:tcBorders>
            <w:noWrap/>
            <w:vAlign w:val="bottom"/>
          </w:tcPr>
          <w:p w:rsidR="004B417C" w:rsidRPr="005A0B02"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szCs w:val="22"/>
                <w:lang w:val="el-GR"/>
              </w:rPr>
            </w:pPr>
            <w:r w:rsidRPr="005A0B02">
              <w:rPr>
                <w:szCs w:val="22"/>
                <w:lang w:val="el-GR"/>
              </w:rPr>
              <w:t>Έσοδα</w:t>
            </w:r>
          </w:p>
        </w:tc>
        <w:tc>
          <w:tcPr>
            <w:tcW w:w="236" w:type="dxa"/>
            <w:tcBorders>
              <w:top w:val="nil"/>
              <w:left w:val="nil"/>
              <w:bottom w:val="nil"/>
              <w:right w:val="nil"/>
            </w:tcBorders>
            <w:noWrap/>
            <w:vAlign w:val="bottom"/>
          </w:tcPr>
          <w:p w:rsidR="004B417C" w:rsidRPr="005A0B02"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szCs w:val="22"/>
              </w:rPr>
            </w:pPr>
          </w:p>
        </w:tc>
        <w:tc>
          <w:tcPr>
            <w:tcW w:w="828" w:type="dxa"/>
            <w:tcBorders>
              <w:top w:val="nil"/>
              <w:left w:val="nil"/>
              <w:bottom w:val="nil"/>
              <w:right w:val="nil"/>
            </w:tcBorders>
            <w:noWrap/>
            <w:vAlign w:val="bottom"/>
          </w:tcPr>
          <w:p w:rsidR="004B417C" w:rsidRPr="005A0B02"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Cs w:val="22"/>
                <w:lang w:val="el-GR"/>
              </w:rPr>
            </w:pPr>
            <w:r w:rsidRPr="005A0B02">
              <w:rPr>
                <w:szCs w:val="22"/>
                <w:lang w:val="el-GR"/>
              </w:rPr>
              <w:t>-</w:t>
            </w:r>
          </w:p>
        </w:tc>
        <w:tc>
          <w:tcPr>
            <w:tcW w:w="300" w:type="dxa"/>
            <w:tcBorders>
              <w:top w:val="nil"/>
              <w:left w:val="nil"/>
              <w:bottom w:val="nil"/>
              <w:right w:val="nil"/>
            </w:tcBorders>
            <w:noWrap/>
            <w:vAlign w:val="bottom"/>
          </w:tcPr>
          <w:p w:rsidR="004B417C" w:rsidRPr="005A0B02"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szCs w:val="22"/>
              </w:rPr>
            </w:pPr>
          </w:p>
        </w:tc>
        <w:tc>
          <w:tcPr>
            <w:tcW w:w="960" w:type="dxa"/>
            <w:tcBorders>
              <w:top w:val="nil"/>
              <w:left w:val="nil"/>
              <w:bottom w:val="nil"/>
              <w:right w:val="nil"/>
            </w:tcBorders>
            <w:noWrap/>
            <w:vAlign w:val="bottom"/>
          </w:tcPr>
          <w:p w:rsidR="004B417C" w:rsidRPr="005A0B02"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Cs w:val="22"/>
                <w:lang w:val="el-GR"/>
              </w:rPr>
            </w:pPr>
            <w:r w:rsidRPr="005A0B02">
              <w:rPr>
                <w:szCs w:val="22"/>
                <w:lang w:val="el-GR"/>
              </w:rPr>
              <w:t>4.175</w:t>
            </w:r>
          </w:p>
        </w:tc>
      </w:tr>
      <w:tr w:rsidR="004B417C" w:rsidRPr="008561EC">
        <w:trPr>
          <w:trHeight w:val="255"/>
        </w:trPr>
        <w:tc>
          <w:tcPr>
            <w:tcW w:w="4638" w:type="dxa"/>
            <w:tcBorders>
              <w:top w:val="nil"/>
              <w:left w:val="nil"/>
              <w:bottom w:val="nil"/>
              <w:right w:val="nil"/>
            </w:tcBorders>
            <w:noWrap/>
            <w:vAlign w:val="bottom"/>
          </w:tcPr>
          <w:p w:rsidR="004B417C" w:rsidRPr="005A0B02"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szCs w:val="22"/>
                <w:lang w:val="el-GR"/>
              </w:rPr>
            </w:pPr>
            <w:r w:rsidRPr="005A0B02">
              <w:rPr>
                <w:szCs w:val="22"/>
                <w:lang w:val="el-GR"/>
              </w:rPr>
              <w:t>Έξοδα</w:t>
            </w:r>
          </w:p>
        </w:tc>
        <w:tc>
          <w:tcPr>
            <w:tcW w:w="236" w:type="dxa"/>
            <w:tcBorders>
              <w:top w:val="nil"/>
              <w:left w:val="nil"/>
              <w:bottom w:val="nil"/>
              <w:right w:val="nil"/>
            </w:tcBorders>
            <w:noWrap/>
            <w:vAlign w:val="bottom"/>
          </w:tcPr>
          <w:p w:rsidR="004B417C" w:rsidRPr="005A0B02"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szCs w:val="22"/>
              </w:rPr>
            </w:pPr>
          </w:p>
        </w:tc>
        <w:tc>
          <w:tcPr>
            <w:tcW w:w="828" w:type="dxa"/>
            <w:tcBorders>
              <w:top w:val="nil"/>
              <w:left w:val="nil"/>
              <w:bottom w:val="nil"/>
              <w:right w:val="nil"/>
            </w:tcBorders>
            <w:noWrap/>
            <w:vAlign w:val="bottom"/>
          </w:tcPr>
          <w:p w:rsidR="004B417C" w:rsidRPr="005A0B02"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Cs w:val="22"/>
                <w:lang w:val="el-GR"/>
              </w:rPr>
            </w:pPr>
            <w:r w:rsidRPr="005A0B02">
              <w:rPr>
                <w:szCs w:val="22"/>
                <w:lang w:val="el-GR"/>
              </w:rPr>
              <w:t>-</w:t>
            </w:r>
          </w:p>
        </w:tc>
        <w:tc>
          <w:tcPr>
            <w:tcW w:w="300" w:type="dxa"/>
            <w:tcBorders>
              <w:top w:val="nil"/>
              <w:left w:val="nil"/>
              <w:bottom w:val="nil"/>
              <w:right w:val="nil"/>
            </w:tcBorders>
            <w:noWrap/>
            <w:vAlign w:val="bottom"/>
          </w:tcPr>
          <w:p w:rsidR="004B417C" w:rsidRPr="005A0B02"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szCs w:val="22"/>
              </w:rPr>
            </w:pPr>
          </w:p>
        </w:tc>
        <w:tc>
          <w:tcPr>
            <w:tcW w:w="960" w:type="dxa"/>
            <w:tcBorders>
              <w:top w:val="nil"/>
              <w:left w:val="nil"/>
              <w:bottom w:val="nil"/>
              <w:right w:val="nil"/>
            </w:tcBorders>
            <w:noWrap/>
            <w:vAlign w:val="bottom"/>
          </w:tcPr>
          <w:p w:rsidR="004B417C" w:rsidRPr="005A0B02"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Cs w:val="22"/>
                <w:lang w:val="el-GR"/>
              </w:rPr>
            </w:pPr>
            <w:r w:rsidRPr="005A0B02">
              <w:rPr>
                <w:szCs w:val="22"/>
                <w:lang w:val="el-GR"/>
              </w:rPr>
              <w:t>10.668</w:t>
            </w:r>
          </w:p>
        </w:tc>
      </w:tr>
      <w:tr w:rsidR="004B417C" w:rsidRPr="008561EC">
        <w:trPr>
          <w:trHeight w:val="255"/>
        </w:trPr>
        <w:tc>
          <w:tcPr>
            <w:tcW w:w="4638" w:type="dxa"/>
            <w:tcBorders>
              <w:top w:val="nil"/>
              <w:left w:val="nil"/>
              <w:bottom w:val="nil"/>
              <w:right w:val="nil"/>
            </w:tcBorders>
            <w:noWrap/>
            <w:vAlign w:val="bottom"/>
          </w:tcPr>
          <w:p w:rsidR="004B417C" w:rsidRPr="005A0B02"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szCs w:val="22"/>
              </w:rPr>
            </w:pPr>
          </w:p>
        </w:tc>
        <w:tc>
          <w:tcPr>
            <w:tcW w:w="236" w:type="dxa"/>
            <w:tcBorders>
              <w:top w:val="nil"/>
              <w:left w:val="nil"/>
              <w:bottom w:val="nil"/>
              <w:right w:val="nil"/>
            </w:tcBorders>
            <w:noWrap/>
            <w:vAlign w:val="bottom"/>
          </w:tcPr>
          <w:p w:rsidR="004B417C" w:rsidRPr="005A0B02"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szCs w:val="22"/>
              </w:rPr>
            </w:pPr>
          </w:p>
        </w:tc>
        <w:tc>
          <w:tcPr>
            <w:tcW w:w="828" w:type="dxa"/>
            <w:tcBorders>
              <w:top w:val="nil"/>
              <w:left w:val="nil"/>
              <w:bottom w:val="nil"/>
              <w:right w:val="nil"/>
            </w:tcBorders>
            <w:noWrap/>
            <w:vAlign w:val="bottom"/>
          </w:tcPr>
          <w:p w:rsidR="004B417C" w:rsidRPr="005A0B02"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szCs w:val="22"/>
              </w:rPr>
            </w:pPr>
          </w:p>
        </w:tc>
        <w:tc>
          <w:tcPr>
            <w:tcW w:w="300" w:type="dxa"/>
            <w:tcBorders>
              <w:top w:val="nil"/>
              <w:left w:val="nil"/>
              <w:bottom w:val="nil"/>
              <w:right w:val="nil"/>
            </w:tcBorders>
            <w:noWrap/>
            <w:vAlign w:val="bottom"/>
          </w:tcPr>
          <w:p w:rsidR="004B417C" w:rsidRPr="005A0B02"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szCs w:val="22"/>
              </w:rPr>
            </w:pPr>
          </w:p>
        </w:tc>
        <w:tc>
          <w:tcPr>
            <w:tcW w:w="960" w:type="dxa"/>
            <w:tcBorders>
              <w:top w:val="nil"/>
              <w:left w:val="nil"/>
              <w:bottom w:val="nil"/>
              <w:right w:val="nil"/>
            </w:tcBorders>
            <w:noWrap/>
            <w:vAlign w:val="bottom"/>
          </w:tcPr>
          <w:p w:rsidR="004B417C" w:rsidRPr="005A0B02"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szCs w:val="22"/>
              </w:rPr>
            </w:pPr>
          </w:p>
        </w:tc>
      </w:tr>
      <w:tr w:rsidR="004B417C" w:rsidRPr="008561EC">
        <w:trPr>
          <w:trHeight w:val="255"/>
        </w:trPr>
        <w:tc>
          <w:tcPr>
            <w:tcW w:w="4638" w:type="dxa"/>
            <w:tcBorders>
              <w:top w:val="nil"/>
              <w:left w:val="nil"/>
              <w:bottom w:val="nil"/>
              <w:right w:val="nil"/>
            </w:tcBorders>
            <w:noWrap/>
            <w:vAlign w:val="bottom"/>
          </w:tcPr>
          <w:p w:rsidR="004B417C" w:rsidRPr="005A0B02" w:rsidRDefault="004B417C" w:rsidP="001239EE">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b/>
                <w:bCs/>
                <w:szCs w:val="22"/>
                <w:lang w:val="el-GR"/>
              </w:rPr>
            </w:pPr>
            <w:r w:rsidRPr="005A0B02">
              <w:rPr>
                <w:b/>
                <w:bCs/>
                <w:szCs w:val="22"/>
                <w:lang w:val="el-GR"/>
              </w:rPr>
              <w:t>Μέλη</w:t>
            </w:r>
            <w:r w:rsidRPr="005A0B02">
              <w:rPr>
                <w:b/>
                <w:bCs/>
                <w:szCs w:val="22"/>
              </w:rPr>
              <w:t xml:space="preserve"> </w:t>
            </w:r>
            <w:r w:rsidRPr="005A0B02">
              <w:rPr>
                <w:b/>
                <w:bCs/>
                <w:szCs w:val="22"/>
                <w:lang w:val="el-GR"/>
              </w:rPr>
              <w:t>Διοικητικού</w:t>
            </w:r>
            <w:r w:rsidRPr="005A0B02">
              <w:rPr>
                <w:b/>
                <w:bCs/>
                <w:szCs w:val="22"/>
              </w:rPr>
              <w:t xml:space="preserve"> </w:t>
            </w:r>
            <w:r w:rsidRPr="005A0B02">
              <w:rPr>
                <w:b/>
                <w:bCs/>
                <w:szCs w:val="22"/>
                <w:lang w:val="el-GR"/>
              </w:rPr>
              <w:t>Συμβουλίου</w:t>
            </w:r>
          </w:p>
        </w:tc>
        <w:tc>
          <w:tcPr>
            <w:tcW w:w="236" w:type="dxa"/>
            <w:tcBorders>
              <w:top w:val="nil"/>
              <w:left w:val="nil"/>
              <w:bottom w:val="nil"/>
              <w:right w:val="nil"/>
            </w:tcBorders>
            <w:noWrap/>
            <w:vAlign w:val="bottom"/>
          </w:tcPr>
          <w:p w:rsidR="004B417C" w:rsidRPr="005A0B02"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szCs w:val="22"/>
              </w:rPr>
            </w:pPr>
          </w:p>
        </w:tc>
        <w:tc>
          <w:tcPr>
            <w:tcW w:w="828" w:type="dxa"/>
            <w:tcBorders>
              <w:top w:val="nil"/>
              <w:left w:val="nil"/>
              <w:bottom w:val="nil"/>
              <w:right w:val="nil"/>
            </w:tcBorders>
            <w:noWrap/>
            <w:vAlign w:val="bottom"/>
          </w:tcPr>
          <w:p w:rsidR="004B417C" w:rsidRPr="005A0B02"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szCs w:val="22"/>
              </w:rPr>
            </w:pPr>
          </w:p>
        </w:tc>
        <w:tc>
          <w:tcPr>
            <w:tcW w:w="300" w:type="dxa"/>
            <w:tcBorders>
              <w:top w:val="nil"/>
              <w:left w:val="nil"/>
              <w:bottom w:val="nil"/>
              <w:right w:val="nil"/>
            </w:tcBorders>
            <w:noWrap/>
            <w:vAlign w:val="bottom"/>
          </w:tcPr>
          <w:p w:rsidR="004B417C" w:rsidRPr="005A0B02"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szCs w:val="22"/>
              </w:rPr>
            </w:pPr>
          </w:p>
        </w:tc>
        <w:tc>
          <w:tcPr>
            <w:tcW w:w="960" w:type="dxa"/>
            <w:tcBorders>
              <w:top w:val="nil"/>
              <w:left w:val="nil"/>
              <w:bottom w:val="nil"/>
              <w:right w:val="nil"/>
            </w:tcBorders>
            <w:noWrap/>
            <w:vAlign w:val="bottom"/>
          </w:tcPr>
          <w:p w:rsidR="004B417C" w:rsidRPr="005A0B02"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szCs w:val="22"/>
              </w:rPr>
            </w:pPr>
          </w:p>
        </w:tc>
      </w:tr>
      <w:tr w:rsidR="004B417C">
        <w:trPr>
          <w:trHeight w:val="255"/>
        </w:trPr>
        <w:tc>
          <w:tcPr>
            <w:tcW w:w="4638" w:type="dxa"/>
            <w:tcBorders>
              <w:top w:val="nil"/>
              <w:left w:val="nil"/>
              <w:bottom w:val="nil"/>
              <w:right w:val="nil"/>
            </w:tcBorders>
            <w:noWrap/>
            <w:vAlign w:val="bottom"/>
          </w:tcPr>
          <w:p w:rsidR="004B417C" w:rsidRPr="005A0B02"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szCs w:val="22"/>
              </w:rPr>
            </w:pPr>
            <w:r w:rsidRPr="005A0B02">
              <w:rPr>
                <w:szCs w:val="22"/>
                <w:lang w:val="el-GR"/>
              </w:rPr>
              <w:t>Αμοιβές</w:t>
            </w:r>
            <w:r w:rsidRPr="005A0B02">
              <w:rPr>
                <w:szCs w:val="22"/>
              </w:rPr>
              <w:t xml:space="preserve"> </w:t>
            </w:r>
          </w:p>
        </w:tc>
        <w:tc>
          <w:tcPr>
            <w:tcW w:w="236" w:type="dxa"/>
            <w:tcBorders>
              <w:top w:val="nil"/>
              <w:left w:val="nil"/>
              <w:bottom w:val="nil"/>
              <w:right w:val="nil"/>
            </w:tcBorders>
            <w:noWrap/>
            <w:vAlign w:val="bottom"/>
          </w:tcPr>
          <w:p w:rsidR="004B417C" w:rsidRPr="005A0B02"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szCs w:val="22"/>
              </w:rPr>
            </w:pPr>
          </w:p>
        </w:tc>
        <w:tc>
          <w:tcPr>
            <w:tcW w:w="828" w:type="dxa"/>
            <w:tcBorders>
              <w:top w:val="nil"/>
              <w:left w:val="nil"/>
              <w:bottom w:val="nil"/>
              <w:right w:val="nil"/>
            </w:tcBorders>
            <w:noWrap/>
            <w:vAlign w:val="bottom"/>
          </w:tcPr>
          <w:p w:rsidR="004B417C" w:rsidRPr="005A0B02"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Cs w:val="22"/>
                <w:lang w:val="el-GR"/>
              </w:rPr>
            </w:pPr>
            <w:r w:rsidRPr="005A0B02">
              <w:rPr>
                <w:szCs w:val="22"/>
                <w:lang w:val="el-GR"/>
              </w:rPr>
              <w:t>83</w:t>
            </w:r>
          </w:p>
        </w:tc>
        <w:tc>
          <w:tcPr>
            <w:tcW w:w="300" w:type="dxa"/>
            <w:tcBorders>
              <w:top w:val="nil"/>
              <w:left w:val="nil"/>
              <w:bottom w:val="nil"/>
              <w:right w:val="nil"/>
            </w:tcBorders>
            <w:noWrap/>
            <w:vAlign w:val="bottom"/>
          </w:tcPr>
          <w:p w:rsidR="004B417C" w:rsidRPr="005A0B02"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szCs w:val="22"/>
              </w:rPr>
            </w:pPr>
          </w:p>
        </w:tc>
        <w:tc>
          <w:tcPr>
            <w:tcW w:w="960" w:type="dxa"/>
            <w:tcBorders>
              <w:top w:val="nil"/>
              <w:left w:val="nil"/>
              <w:bottom w:val="nil"/>
              <w:right w:val="nil"/>
            </w:tcBorders>
            <w:noWrap/>
            <w:vAlign w:val="bottom"/>
          </w:tcPr>
          <w:p w:rsidR="004B417C" w:rsidRPr="005A0B02"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Cs w:val="22"/>
                <w:lang w:val="el-GR"/>
              </w:rPr>
            </w:pPr>
            <w:r w:rsidRPr="005A0B02">
              <w:rPr>
                <w:szCs w:val="22"/>
                <w:lang w:val="el-GR"/>
              </w:rPr>
              <w:t>83</w:t>
            </w:r>
          </w:p>
        </w:tc>
      </w:tr>
    </w:tbl>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both"/>
        <w:rPr>
          <w:lang w:val="el-GR"/>
        </w:rPr>
      </w:pPr>
    </w:p>
    <w:p w:rsidR="004B417C" w:rsidRPr="009F79F6" w:rsidRDefault="004B417C" w:rsidP="00913F0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both"/>
        <w:rPr>
          <w:lang w:val="el-GR"/>
        </w:rPr>
      </w:pPr>
      <w:r>
        <w:rPr>
          <w:lang w:val="el-GR"/>
        </w:rPr>
        <w:t>Οι συναλλαγές με συνδεδεμένα μέρη πραγματοποιήθηκαν σύμφωνα με τους γενικά αποδεκτούς εμπορικούς όρους και θα διευθετηθούν με μετρητά εντός εύλογου χρονικού διαστήματος.</w:t>
      </w:r>
    </w:p>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both"/>
        <w:rPr>
          <w:lang w:val="el-GR"/>
        </w:rPr>
      </w:pPr>
    </w:p>
    <w:p w:rsidR="004B417C" w:rsidRPr="00C74E5A"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both"/>
        <w:rPr>
          <w:b/>
          <w:lang w:val="el-GR"/>
        </w:rPr>
      </w:pPr>
      <w:r w:rsidRPr="00C74E5A">
        <w:rPr>
          <w:b/>
          <w:lang w:val="el-GR"/>
        </w:rPr>
        <w:t>21 Λειτουργικές Μισθώσεις</w:t>
      </w:r>
    </w:p>
    <w:p w:rsidR="004B417C" w:rsidRPr="00C74E5A" w:rsidRDefault="004B417C" w:rsidP="00571931">
      <w:pPr>
        <w:pStyle w:val="BodyText"/>
        <w:spacing w:before="120"/>
        <w:rPr>
          <w:szCs w:val="22"/>
          <w:lang w:val="el-GR"/>
        </w:rPr>
      </w:pPr>
      <w:r w:rsidRPr="00C74E5A">
        <w:rPr>
          <w:szCs w:val="22"/>
          <w:lang w:val="el-GR"/>
        </w:rPr>
        <w:t>Οι υποχρεώσεις της Εταιρίας (ως μισθώτριας ) από μισθώματα αφορά κατά κύριο λόγο στα κτίρια που χρησιμοποιεί.  Τα ελάχιστα μελλοντικά μισθώματα για τις λειτουργικές αυτές μισθώσεις είναι:</w:t>
      </w:r>
    </w:p>
    <w:tbl>
      <w:tblPr>
        <w:tblW w:w="0" w:type="auto"/>
        <w:tblInd w:w="648" w:type="dxa"/>
        <w:tblLook w:val="00BF"/>
      </w:tblPr>
      <w:tblGrid>
        <w:gridCol w:w="2264"/>
        <w:gridCol w:w="2340"/>
      </w:tblGrid>
      <w:tr w:rsidR="004B417C" w:rsidRPr="00C74E5A" w:rsidTr="00886B9A">
        <w:tc>
          <w:tcPr>
            <w:tcW w:w="2264" w:type="dxa"/>
          </w:tcPr>
          <w:p w:rsidR="004B417C" w:rsidRPr="00C74E5A" w:rsidRDefault="004B417C" w:rsidP="00886B9A">
            <w:pPr>
              <w:pStyle w:val="BodyText"/>
              <w:spacing w:before="120" w:after="0"/>
              <w:rPr>
                <w:szCs w:val="22"/>
                <w:lang w:val="el-GR"/>
              </w:rPr>
            </w:pPr>
          </w:p>
        </w:tc>
        <w:tc>
          <w:tcPr>
            <w:tcW w:w="2340" w:type="dxa"/>
          </w:tcPr>
          <w:p w:rsidR="004B417C" w:rsidRPr="00C74E5A" w:rsidRDefault="004B417C" w:rsidP="00886B9A">
            <w:pPr>
              <w:pStyle w:val="BodyText"/>
              <w:spacing w:before="120" w:after="0"/>
              <w:jc w:val="right"/>
              <w:rPr>
                <w:bCs/>
                <w:szCs w:val="22"/>
                <w:u w:val="single"/>
                <w:lang w:val="el-GR"/>
              </w:rPr>
            </w:pPr>
            <w:r w:rsidRPr="00C74E5A">
              <w:rPr>
                <w:bCs/>
                <w:szCs w:val="22"/>
                <w:u w:val="single"/>
                <w:lang w:val="el-GR"/>
              </w:rPr>
              <w:t>Ευρώ</w:t>
            </w:r>
          </w:p>
        </w:tc>
      </w:tr>
      <w:tr w:rsidR="004B417C" w:rsidRPr="00C74E5A" w:rsidTr="00886B9A">
        <w:tc>
          <w:tcPr>
            <w:tcW w:w="2264" w:type="dxa"/>
          </w:tcPr>
          <w:p w:rsidR="004B417C" w:rsidRPr="00C74E5A" w:rsidRDefault="004B417C" w:rsidP="00886B9A">
            <w:pPr>
              <w:pStyle w:val="BodyText"/>
              <w:spacing w:before="120" w:after="0"/>
              <w:rPr>
                <w:szCs w:val="22"/>
                <w:lang w:val="el-GR"/>
              </w:rPr>
            </w:pPr>
            <w:r w:rsidRPr="00C74E5A">
              <w:rPr>
                <w:szCs w:val="22"/>
                <w:lang w:val="el-GR"/>
              </w:rPr>
              <w:t xml:space="preserve">       Έως 1 έτος</w:t>
            </w:r>
          </w:p>
        </w:tc>
        <w:tc>
          <w:tcPr>
            <w:tcW w:w="2340" w:type="dxa"/>
          </w:tcPr>
          <w:p w:rsidR="004B417C" w:rsidRPr="00C74E5A" w:rsidRDefault="004B417C" w:rsidP="00886B9A">
            <w:pPr>
              <w:pStyle w:val="BodyText"/>
              <w:spacing w:before="120" w:after="0"/>
              <w:jc w:val="right"/>
              <w:rPr>
                <w:bCs/>
                <w:szCs w:val="22"/>
              </w:rPr>
            </w:pPr>
            <w:r w:rsidRPr="00C74E5A">
              <w:rPr>
                <w:bCs/>
                <w:szCs w:val="22"/>
              </w:rPr>
              <w:t>336</w:t>
            </w:r>
          </w:p>
        </w:tc>
      </w:tr>
      <w:tr w:rsidR="004B417C" w:rsidRPr="00E869B7" w:rsidTr="00886B9A">
        <w:tc>
          <w:tcPr>
            <w:tcW w:w="2264" w:type="dxa"/>
          </w:tcPr>
          <w:p w:rsidR="004B417C" w:rsidRPr="00C74E5A" w:rsidRDefault="004B417C" w:rsidP="00886B9A">
            <w:pPr>
              <w:pStyle w:val="BodyText"/>
              <w:spacing w:before="120" w:after="0"/>
              <w:rPr>
                <w:szCs w:val="22"/>
                <w:lang w:val="el-GR"/>
              </w:rPr>
            </w:pPr>
            <w:r w:rsidRPr="00C74E5A">
              <w:rPr>
                <w:szCs w:val="22"/>
                <w:lang w:val="el-GR"/>
              </w:rPr>
              <w:t xml:space="preserve">       Από 1 έως 5 έτη</w:t>
            </w:r>
          </w:p>
        </w:tc>
        <w:tc>
          <w:tcPr>
            <w:tcW w:w="2340" w:type="dxa"/>
          </w:tcPr>
          <w:p w:rsidR="004B417C" w:rsidRPr="006164BE" w:rsidRDefault="004B417C" w:rsidP="00886B9A">
            <w:pPr>
              <w:pStyle w:val="BodyText"/>
              <w:spacing w:before="120" w:after="0"/>
              <w:jc w:val="right"/>
              <w:rPr>
                <w:bCs/>
                <w:szCs w:val="22"/>
              </w:rPr>
            </w:pPr>
            <w:r w:rsidRPr="00C74E5A">
              <w:rPr>
                <w:bCs/>
                <w:szCs w:val="22"/>
              </w:rPr>
              <w:t>1.344</w:t>
            </w:r>
          </w:p>
        </w:tc>
      </w:tr>
    </w:tbl>
    <w:p w:rsidR="00E021D0" w:rsidRDefault="00E021D0" w:rsidP="00CF1829">
      <w:pPr>
        <w:pStyle w:val="Heading1"/>
        <w:keepLines/>
        <w:shd w:val="clear" w:color="auto" w:fill="auto"/>
        <w:spacing w:before="130" w:line="280" w:lineRule="atLeast"/>
        <w:rPr>
          <w:szCs w:val="22"/>
          <w:lang w:val="el-GR"/>
        </w:rPr>
      </w:pPr>
    </w:p>
    <w:p w:rsidR="00E021D0" w:rsidRDefault="00E021D0" w:rsidP="00E021D0">
      <w:pPr>
        <w:rPr>
          <w:lang w:val="el-GR"/>
        </w:rPr>
      </w:pPr>
    </w:p>
    <w:p w:rsidR="00E021D0" w:rsidRPr="00E021D0" w:rsidRDefault="00E021D0" w:rsidP="00E021D0">
      <w:pPr>
        <w:rPr>
          <w:lang w:val="el-GR"/>
        </w:rPr>
      </w:pPr>
    </w:p>
    <w:p w:rsidR="004B417C" w:rsidRPr="006B1B03" w:rsidRDefault="004B417C" w:rsidP="00CF1829">
      <w:pPr>
        <w:pStyle w:val="Heading1"/>
        <w:keepLines/>
        <w:shd w:val="clear" w:color="auto" w:fill="auto"/>
        <w:spacing w:before="130" w:line="280" w:lineRule="atLeast"/>
        <w:rPr>
          <w:szCs w:val="22"/>
          <w:lang w:val="el-GR"/>
        </w:rPr>
      </w:pPr>
      <w:r>
        <w:rPr>
          <w:szCs w:val="22"/>
        </w:rPr>
        <w:lastRenderedPageBreak/>
        <w:t>2</w:t>
      </w:r>
      <w:r>
        <w:rPr>
          <w:szCs w:val="22"/>
          <w:lang w:val="el-GR"/>
        </w:rPr>
        <w:t>2 Διαχείριση χρηματοοικονομικών κινδύνων</w:t>
      </w:r>
    </w:p>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both"/>
        <w:rPr>
          <w:szCs w:val="17"/>
          <w:lang w:val="el-GR"/>
        </w:rPr>
      </w:pPr>
    </w:p>
    <w:p w:rsidR="004B417C" w:rsidRDefault="004B417C" w:rsidP="00913F0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both"/>
        <w:rPr>
          <w:lang w:val="el-GR"/>
        </w:rPr>
      </w:pPr>
      <w:r>
        <w:rPr>
          <w:szCs w:val="17"/>
          <w:lang w:val="el-GR"/>
        </w:rPr>
        <w:t>Οι σημαντικότεροι κίνδυνοι χρηματοοικονομικού χαρακτήρα θεωρούνται ο πιστωτικός κίνδυνος, ο κίνδυνος ρευστότητας και ο κίνδυνος αγοράς. Κίνδυνος αγοράς θεωρείται ο κίνδυνος συναλλάγματος, επιτοκίου και ο κίνδυνος τιμών.</w:t>
      </w:r>
    </w:p>
    <w:p w:rsidR="004B417C" w:rsidRPr="00E479BA" w:rsidRDefault="004B417C" w:rsidP="00E479BA">
      <w:pPr>
        <w:rPr>
          <w:lang w:val="el-GR"/>
        </w:rPr>
      </w:pPr>
      <w:bookmarkStart w:id="29" w:name="_Toc128477848"/>
    </w:p>
    <w:p w:rsidR="004B417C" w:rsidRDefault="004B417C" w:rsidP="005027E5">
      <w:pPr>
        <w:pStyle w:val="Heading2"/>
        <w:ind w:left="539" w:hanging="539"/>
        <w:rPr>
          <w:lang w:val="el-GR"/>
        </w:rPr>
      </w:pPr>
      <w:r>
        <w:rPr>
          <w:lang w:val="el-GR"/>
        </w:rPr>
        <w:t>22.1</w:t>
      </w:r>
      <w:r>
        <w:rPr>
          <w:lang w:val="el-GR"/>
        </w:rPr>
        <w:tab/>
        <w:t>Πιστωτικός κίνδυνος</w:t>
      </w:r>
      <w:bookmarkEnd w:id="29"/>
    </w:p>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both"/>
        <w:rPr>
          <w:szCs w:val="17"/>
          <w:lang w:val="el-GR"/>
        </w:rPr>
      </w:pPr>
    </w:p>
    <w:p w:rsidR="004B417C" w:rsidRDefault="004B417C" w:rsidP="00913F0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both"/>
        <w:rPr>
          <w:szCs w:val="17"/>
          <w:lang w:val="el-GR"/>
        </w:rPr>
      </w:pPr>
      <w:r>
        <w:rPr>
          <w:szCs w:val="17"/>
          <w:lang w:val="el-GR"/>
        </w:rPr>
        <w:t xml:space="preserve">Ο πιστωτικός κίνδυνος που αναλαμβάνει η Εταιρεία απορρέει από την πιθανότητα μη εισπράξεως του συνόλου των </w:t>
      </w:r>
      <w:r>
        <w:rPr>
          <w:lang w:val="el-GR"/>
        </w:rPr>
        <w:t>μισθωμάτων</w:t>
      </w:r>
      <w:r>
        <w:rPr>
          <w:szCs w:val="17"/>
          <w:lang w:val="el-GR"/>
        </w:rPr>
        <w:t xml:space="preserve"> από τους μισθωτές σύμφωνα με τους όρους αποπληρωμής των συμβάσεων. Η έκθεση στον πιστωτικό κίνδυνο εξετάζεται μέσα από τη συνεχή ανάλυση των ήδη υφιστάμενων και εν δυνάμει μισθωτών να </w:t>
      </w:r>
      <w:r>
        <w:rPr>
          <w:lang w:val="el-GR"/>
        </w:rPr>
        <w:t>ανταποκριθούν</w:t>
      </w:r>
      <w:r>
        <w:rPr>
          <w:szCs w:val="17"/>
          <w:lang w:val="el-GR"/>
        </w:rPr>
        <w:t xml:space="preserve"> στις υποχρεώσεις τους. Η διαχείριση του πιστωτικού κινδύνου περιλαμβάνει επίσης τη λψη καλυμμάτων και εγγυήσεων, εταιρικών ή προσωπικών, από τους μισθωτές. </w:t>
      </w:r>
    </w:p>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17"/>
          <w:lang w:val="el-GR"/>
        </w:rPr>
      </w:pPr>
    </w:p>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17"/>
          <w:lang w:val="el-GR"/>
        </w:rPr>
      </w:pPr>
      <w:r>
        <w:rPr>
          <w:szCs w:val="17"/>
          <w:lang w:val="el-GR"/>
        </w:rPr>
        <w:t>Τα καλύμματα που λαμβάνονται καλύπτουν τις εξής κύριες κατηγορίες:</w:t>
      </w:r>
    </w:p>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17"/>
          <w:lang w:val="el-GR"/>
        </w:rPr>
      </w:pPr>
    </w:p>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17"/>
          <w:lang w:val="el-GR"/>
        </w:rPr>
      </w:pPr>
      <w:r>
        <w:rPr>
          <w:szCs w:val="17"/>
          <w:lang w:val="el-GR"/>
        </w:rPr>
        <w:t>1. Προσημειώσεις επί ακινήτων.</w:t>
      </w:r>
    </w:p>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17"/>
          <w:lang w:val="el-GR"/>
        </w:rPr>
      </w:pPr>
      <w:r>
        <w:rPr>
          <w:szCs w:val="17"/>
          <w:lang w:val="el-GR"/>
        </w:rPr>
        <w:t>2. Δεσμευμένες καταθέσεις</w:t>
      </w:r>
    </w:p>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17"/>
          <w:lang w:val="el-GR"/>
        </w:rPr>
      </w:pPr>
      <w:r>
        <w:rPr>
          <w:szCs w:val="17"/>
          <w:lang w:val="el-GR"/>
        </w:rPr>
        <w:t>3. Εγγυητικές Επιστολές</w:t>
      </w:r>
    </w:p>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17"/>
          <w:lang w:val="el-GR"/>
        </w:rPr>
      </w:pPr>
      <w:r>
        <w:rPr>
          <w:szCs w:val="17"/>
          <w:lang w:val="el-GR"/>
        </w:rPr>
        <w:t>4. Μετοχές</w:t>
      </w:r>
    </w:p>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17"/>
          <w:lang w:val="el-GR"/>
        </w:rPr>
      </w:pPr>
      <w:r>
        <w:rPr>
          <w:szCs w:val="17"/>
          <w:lang w:val="el-GR"/>
        </w:rPr>
        <w:t>5. Επιταγές</w:t>
      </w:r>
    </w:p>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17"/>
          <w:lang w:val="el-GR"/>
        </w:rPr>
      </w:pPr>
    </w:p>
    <w:p w:rsidR="004B417C" w:rsidRDefault="004B417C" w:rsidP="00913F0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17"/>
          <w:lang w:val="el-GR"/>
        </w:rPr>
      </w:pPr>
      <w:r>
        <w:rPr>
          <w:szCs w:val="17"/>
          <w:lang w:val="el-GR"/>
        </w:rPr>
        <w:t xml:space="preserve">Η Εταιρεία αποδίδει ιδιαίτερη σημασία στην κατάλληλη διαχείριση του πιστωτικού κινδύνου, επομένως οι μισθωτές της υπόκεινται εξ αρχής σε διαδικασίες πιστοληπτικής αξιολογήσεως, κατατάσσονται με βάση το εσωτερικό σύστημα πιστωτικού κινδύνου και προωθούνται προς τα κατάλληλα θεσπισμένα εγκριτικά όργανα. </w:t>
      </w:r>
    </w:p>
    <w:p w:rsidR="004B417C" w:rsidRPr="009F79F6"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17"/>
          <w:lang w:val="el-GR"/>
        </w:rPr>
      </w:pPr>
    </w:p>
    <w:p w:rsidR="004B417C" w:rsidRDefault="004B417C">
      <w:pPr>
        <w:ind w:right="281"/>
        <w:jc w:val="center"/>
        <w:rPr>
          <w:b/>
          <w:szCs w:val="22"/>
          <w:u w:val="single"/>
          <w:lang w:val="el-GR"/>
        </w:rPr>
      </w:pPr>
      <w:r>
        <w:rPr>
          <w:b/>
          <w:szCs w:val="22"/>
          <w:u w:val="single"/>
          <w:lang w:val="el-GR"/>
        </w:rPr>
        <w:t>Δάνεια με ειδική πρόβλεψη</w:t>
      </w:r>
    </w:p>
    <w:p w:rsidR="004B417C" w:rsidRPr="00915E21" w:rsidRDefault="004B417C">
      <w:pPr>
        <w:ind w:right="281"/>
        <w:jc w:val="center"/>
        <w:rPr>
          <w:b/>
          <w:szCs w:val="22"/>
          <w:u w:val="single"/>
          <w:lang w:val="el-GR"/>
        </w:rPr>
      </w:pPr>
      <w:r>
        <w:rPr>
          <w:b/>
          <w:szCs w:val="22"/>
          <w:u w:val="single"/>
          <w:lang w:val="el-GR"/>
        </w:rPr>
        <w:t>31 Δεκεμβρίου 201</w:t>
      </w:r>
      <w:r w:rsidRPr="00915E21">
        <w:rPr>
          <w:b/>
          <w:szCs w:val="22"/>
          <w:u w:val="single"/>
          <w:lang w:val="el-GR"/>
        </w:rPr>
        <w:t>2</w:t>
      </w:r>
    </w:p>
    <w:p w:rsidR="004B417C" w:rsidRDefault="004B417C">
      <w:pPr>
        <w:ind w:right="281"/>
        <w:jc w:val="both"/>
        <w:rPr>
          <w:b/>
          <w:szCs w:val="22"/>
          <w:lang w:val="el-GR"/>
        </w:rPr>
      </w:pPr>
    </w:p>
    <w:tbl>
      <w:tblPr>
        <w:tblpPr w:leftFromText="180" w:rightFromText="180" w:vertAnchor="text" w:horzAnchor="margin" w:tblpXSpec="center" w:tblpY="354"/>
        <w:tblW w:w="9180" w:type="dxa"/>
        <w:tblLayout w:type="fixed"/>
        <w:tblLook w:val="0000"/>
      </w:tblPr>
      <w:tblGrid>
        <w:gridCol w:w="1485"/>
        <w:gridCol w:w="2043"/>
        <w:gridCol w:w="2160"/>
        <w:gridCol w:w="2464"/>
        <w:gridCol w:w="1028"/>
      </w:tblGrid>
      <w:tr w:rsidR="004B417C">
        <w:tc>
          <w:tcPr>
            <w:tcW w:w="1485" w:type="dxa"/>
            <w:tcBorders>
              <w:bottom w:val="single" w:sz="4" w:space="0" w:color="auto"/>
            </w:tcBorders>
            <w:vAlign w:val="center"/>
          </w:tcPr>
          <w:p w:rsidR="004B417C" w:rsidRDefault="004B417C" w:rsidP="00C02EBD">
            <w:pPr>
              <w:ind w:right="281"/>
              <w:rPr>
                <w:b/>
                <w:szCs w:val="22"/>
                <w:lang w:val="el-GR"/>
              </w:rPr>
            </w:pPr>
            <w:r>
              <w:rPr>
                <w:b/>
                <w:szCs w:val="22"/>
                <w:lang w:val="el-GR"/>
              </w:rPr>
              <w:br/>
            </w:r>
            <w:r>
              <w:rPr>
                <w:b/>
                <w:szCs w:val="22"/>
                <w:lang w:val="el-GR"/>
              </w:rPr>
              <w:br/>
            </w:r>
            <w:r w:rsidRPr="00D9710C">
              <w:rPr>
                <w:b/>
                <w:szCs w:val="22"/>
                <w:lang w:val="el-GR"/>
              </w:rPr>
              <w:br/>
            </w:r>
            <w:r>
              <w:rPr>
                <w:b/>
                <w:szCs w:val="22"/>
                <w:lang w:val="el-GR"/>
              </w:rPr>
              <w:t>Βαθμίδα</w:t>
            </w:r>
          </w:p>
        </w:tc>
        <w:tc>
          <w:tcPr>
            <w:tcW w:w="2043" w:type="dxa"/>
            <w:tcBorders>
              <w:bottom w:val="single" w:sz="4" w:space="0" w:color="auto"/>
            </w:tcBorders>
            <w:vAlign w:val="center"/>
          </w:tcPr>
          <w:p w:rsidR="004B417C" w:rsidRDefault="004B417C">
            <w:pPr>
              <w:ind w:right="281"/>
              <w:jc w:val="center"/>
              <w:rPr>
                <w:b/>
                <w:szCs w:val="22"/>
                <w:lang w:val="el-GR"/>
              </w:rPr>
            </w:pPr>
            <w:r>
              <w:rPr>
                <w:b/>
                <w:szCs w:val="22"/>
                <w:lang w:val="el-GR"/>
              </w:rPr>
              <w:br/>
            </w:r>
            <w:r>
              <w:rPr>
                <w:b/>
                <w:szCs w:val="22"/>
                <w:lang w:val="el-GR"/>
              </w:rPr>
              <w:br/>
              <w:t>Βαθμός Κινδύνου</w:t>
            </w:r>
          </w:p>
        </w:tc>
        <w:tc>
          <w:tcPr>
            <w:tcW w:w="2160" w:type="dxa"/>
            <w:tcBorders>
              <w:bottom w:val="single" w:sz="4" w:space="0" w:color="auto"/>
            </w:tcBorders>
            <w:vAlign w:val="center"/>
          </w:tcPr>
          <w:p w:rsidR="004B417C" w:rsidRDefault="004B417C">
            <w:pPr>
              <w:ind w:right="281"/>
              <w:jc w:val="center"/>
              <w:rPr>
                <w:b/>
                <w:szCs w:val="22"/>
                <w:lang w:val="el-GR"/>
              </w:rPr>
            </w:pPr>
            <w:r>
              <w:rPr>
                <w:b/>
                <w:szCs w:val="22"/>
              </w:rPr>
              <w:br/>
            </w:r>
            <w:r>
              <w:rPr>
                <w:b/>
                <w:szCs w:val="22"/>
                <w:lang w:val="el-GR"/>
              </w:rPr>
              <w:t>Δάνεια/</w:t>
            </w:r>
          </w:p>
          <w:p w:rsidR="004B417C" w:rsidRDefault="004B417C">
            <w:pPr>
              <w:ind w:right="281"/>
              <w:jc w:val="center"/>
              <w:rPr>
                <w:b/>
                <w:szCs w:val="22"/>
                <w:lang w:val="el-GR"/>
              </w:rPr>
            </w:pPr>
            <w:r>
              <w:rPr>
                <w:b/>
                <w:szCs w:val="22"/>
                <w:lang w:val="el-GR"/>
              </w:rPr>
              <w:t>προκαταβολές</w:t>
            </w:r>
          </w:p>
          <w:p w:rsidR="004B417C" w:rsidRDefault="004B417C">
            <w:pPr>
              <w:ind w:right="281"/>
              <w:jc w:val="center"/>
              <w:rPr>
                <w:b/>
                <w:szCs w:val="22"/>
                <w:lang w:val="el-GR"/>
              </w:rPr>
            </w:pPr>
            <w:r>
              <w:rPr>
                <w:b/>
                <w:szCs w:val="22"/>
                <w:lang w:val="el-GR"/>
              </w:rPr>
              <w:t>σε πελάτες</w:t>
            </w:r>
          </w:p>
        </w:tc>
        <w:tc>
          <w:tcPr>
            <w:tcW w:w="2464" w:type="dxa"/>
            <w:tcBorders>
              <w:bottom w:val="single" w:sz="4" w:space="0" w:color="auto"/>
            </w:tcBorders>
            <w:vAlign w:val="center"/>
          </w:tcPr>
          <w:p w:rsidR="004B417C" w:rsidRDefault="004B417C">
            <w:pPr>
              <w:ind w:right="281"/>
              <w:jc w:val="right"/>
              <w:rPr>
                <w:b/>
                <w:szCs w:val="22"/>
                <w:lang w:val="el-GR"/>
              </w:rPr>
            </w:pPr>
            <w:r>
              <w:rPr>
                <w:b/>
                <w:szCs w:val="22"/>
              </w:rPr>
              <w:br/>
            </w:r>
            <w:r>
              <w:rPr>
                <w:b/>
                <w:szCs w:val="22"/>
                <w:lang w:val="el-GR"/>
              </w:rPr>
              <w:br/>
            </w:r>
            <w:r>
              <w:rPr>
                <w:b/>
                <w:szCs w:val="22"/>
                <w:lang w:val="el-GR"/>
              </w:rPr>
              <w:br/>
              <w:t>Προβλέψεις</w:t>
            </w:r>
          </w:p>
        </w:tc>
        <w:tc>
          <w:tcPr>
            <w:tcW w:w="1028" w:type="dxa"/>
            <w:tcBorders>
              <w:bottom w:val="single" w:sz="4" w:space="0" w:color="auto"/>
            </w:tcBorders>
          </w:tcPr>
          <w:p w:rsidR="004B417C" w:rsidRDefault="004B417C">
            <w:pPr>
              <w:ind w:right="281"/>
              <w:jc w:val="right"/>
              <w:rPr>
                <w:b/>
                <w:szCs w:val="22"/>
              </w:rPr>
            </w:pPr>
          </w:p>
        </w:tc>
      </w:tr>
      <w:tr w:rsidR="004B417C">
        <w:tc>
          <w:tcPr>
            <w:tcW w:w="1485" w:type="dxa"/>
            <w:tcBorders>
              <w:top w:val="single" w:sz="4" w:space="0" w:color="auto"/>
            </w:tcBorders>
          </w:tcPr>
          <w:p w:rsidR="004B417C" w:rsidRDefault="004B417C">
            <w:pPr>
              <w:ind w:right="281"/>
              <w:jc w:val="center"/>
              <w:rPr>
                <w:b/>
                <w:szCs w:val="22"/>
                <w:lang w:val="el-GR"/>
              </w:rPr>
            </w:pPr>
          </w:p>
        </w:tc>
        <w:tc>
          <w:tcPr>
            <w:tcW w:w="2043" w:type="dxa"/>
            <w:tcBorders>
              <w:top w:val="single" w:sz="4" w:space="0" w:color="auto"/>
            </w:tcBorders>
          </w:tcPr>
          <w:p w:rsidR="004B417C" w:rsidRDefault="004B417C">
            <w:pPr>
              <w:ind w:right="281"/>
              <w:jc w:val="center"/>
              <w:rPr>
                <w:b/>
                <w:szCs w:val="22"/>
                <w:lang w:val="el-GR"/>
              </w:rPr>
            </w:pPr>
          </w:p>
        </w:tc>
        <w:tc>
          <w:tcPr>
            <w:tcW w:w="2160" w:type="dxa"/>
            <w:tcBorders>
              <w:top w:val="single" w:sz="4" w:space="0" w:color="auto"/>
            </w:tcBorders>
          </w:tcPr>
          <w:p w:rsidR="004B417C" w:rsidRDefault="004B417C">
            <w:pPr>
              <w:ind w:right="281"/>
              <w:jc w:val="right"/>
              <w:rPr>
                <w:bCs/>
                <w:szCs w:val="22"/>
                <w:lang w:val="el-GR"/>
              </w:rPr>
            </w:pPr>
          </w:p>
        </w:tc>
        <w:tc>
          <w:tcPr>
            <w:tcW w:w="2464" w:type="dxa"/>
            <w:tcBorders>
              <w:top w:val="single" w:sz="4" w:space="0" w:color="auto"/>
            </w:tcBorders>
          </w:tcPr>
          <w:p w:rsidR="004B417C" w:rsidRDefault="004B417C">
            <w:pPr>
              <w:ind w:right="281"/>
              <w:jc w:val="right"/>
              <w:rPr>
                <w:bCs/>
                <w:szCs w:val="22"/>
                <w:lang w:val="el-GR"/>
              </w:rPr>
            </w:pPr>
          </w:p>
        </w:tc>
        <w:tc>
          <w:tcPr>
            <w:tcW w:w="1028" w:type="dxa"/>
            <w:tcBorders>
              <w:top w:val="single" w:sz="4" w:space="0" w:color="auto"/>
            </w:tcBorders>
          </w:tcPr>
          <w:p w:rsidR="004B417C" w:rsidRDefault="004B417C">
            <w:pPr>
              <w:ind w:right="281"/>
              <w:jc w:val="right"/>
              <w:rPr>
                <w:bCs/>
                <w:szCs w:val="22"/>
                <w:lang w:val="el-GR"/>
              </w:rPr>
            </w:pPr>
          </w:p>
        </w:tc>
      </w:tr>
      <w:tr w:rsidR="004B417C">
        <w:tc>
          <w:tcPr>
            <w:tcW w:w="1485" w:type="dxa"/>
          </w:tcPr>
          <w:p w:rsidR="004B417C" w:rsidRDefault="004B417C">
            <w:pPr>
              <w:ind w:right="281"/>
              <w:jc w:val="center"/>
              <w:rPr>
                <w:b/>
                <w:szCs w:val="22"/>
                <w:lang w:val="el-GR"/>
              </w:rPr>
            </w:pPr>
            <w:r>
              <w:rPr>
                <w:b/>
                <w:szCs w:val="22"/>
                <w:lang w:val="el-GR"/>
              </w:rPr>
              <w:t>Α</w:t>
            </w:r>
          </w:p>
        </w:tc>
        <w:tc>
          <w:tcPr>
            <w:tcW w:w="2043" w:type="dxa"/>
          </w:tcPr>
          <w:p w:rsidR="004B417C" w:rsidRDefault="004B417C">
            <w:pPr>
              <w:ind w:right="281"/>
              <w:rPr>
                <w:szCs w:val="22"/>
                <w:lang w:val="el-GR"/>
              </w:rPr>
            </w:pPr>
            <w:r>
              <w:rPr>
                <w:szCs w:val="22"/>
                <w:lang w:val="el-GR"/>
              </w:rPr>
              <w:t>Αποδεκτός</w:t>
            </w:r>
          </w:p>
        </w:tc>
        <w:tc>
          <w:tcPr>
            <w:tcW w:w="2160" w:type="dxa"/>
          </w:tcPr>
          <w:p w:rsidR="004B417C" w:rsidRPr="00901310" w:rsidRDefault="004B417C">
            <w:pPr>
              <w:ind w:right="281"/>
              <w:jc w:val="right"/>
              <w:rPr>
                <w:bCs/>
                <w:szCs w:val="22"/>
                <w:lang w:val="el-GR"/>
              </w:rPr>
            </w:pPr>
            <w:r>
              <w:rPr>
                <w:bCs/>
                <w:szCs w:val="22"/>
              </w:rPr>
              <w:t>14.45</w:t>
            </w:r>
            <w:r>
              <w:rPr>
                <w:bCs/>
                <w:szCs w:val="22"/>
                <w:lang w:val="el-GR"/>
              </w:rPr>
              <w:t>1</w:t>
            </w:r>
          </w:p>
        </w:tc>
        <w:tc>
          <w:tcPr>
            <w:tcW w:w="2464" w:type="dxa"/>
          </w:tcPr>
          <w:p w:rsidR="004B417C" w:rsidRDefault="004B417C">
            <w:pPr>
              <w:ind w:right="281"/>
              <w:jc w:val="right"/>
              <w:rPr>
                <w:bCs/>
                <w:szCs w:val="22"/>
                <w:lang w:val="el-GR"/>
              </w:rPr>
            </w:pPr>
            <w:r>
              <w:rPr>
                <w:bCs/>
                <w:szCs w:val="22"/>
                <w:lang w:val="el-GR"/>
              </w:rPr>
              <w:t>(</w:t>
            </w:r>
            <w:r>
              <w:rPr>
                <w:bCs/>
                <w:szCs w:val="22"/>
              </w:rPr>
              <w:t>14</w:t>
            </w:r>
            <w:r>
              <w:rPr>
                <w:bCs/>
                <w:szCs w:val="22"/>
                <w:lang w:val="el-GR"/>
              </w:rPr>
              <w:t>)</w:t>
            </w:r>
          </w:p>
        </w:tc>
        <w:tc>
          <w:tcPr>
            <w:tcW w:w="1028" w:type="dxa"/>
          </w:tcPr>
          <w:p w:rsidR="004B417C" w:rsidRDefault="004B417C">
            <w:pPr>
              <w:ind w:right="281"/>
              <w:jc w:val="right"/>
              <w:rPr>
                <w:bCs/>
                <w:szCs w:val="22"/>
                <w:lang w:val="el-GR"/>
              </w:rPr>
            </w:pPr>
          </w:p>
        </w:tc>
      </w:tr>
      <w:tr w:rsidR="004B417C">
        <w:tc>
          <w:tcPr>
            <w:tcW w:w="1485" w:type="dxa"/>
          </w:tcPr>
          <w:p w:rsidR="004B417C" w:rsidRDefault="004B417C">
            <w:pPr>
              <w:ind w:right="281"/>
              <w:jc w:val="center"/>
              <w:rPr>
                <w:b/>
                <w:szCs w:val="22"/>
                <w:lang w:val="el-GR"/>
              </w:rPr>
            </w:pPr>
            <w:r>
              <w:rPr>
                <w:b/>
                <w:szCs w:val="22"/>
                <w:lang w:val="el-GR"/>
              </w:rPr>
              <w:t>Β</w:t>
            </w:r>
          </w:p>
        </w:tc>
        <w:tc>
          <w:tcPr>
            <w:tcW w:w="2043" w:type="dxa"/>
          </w:tcPr>
          <w:p w:rsidR="004B417C" w:rsidRDefault="004B417C">
            <w:pPr>
              <w:ind w:right="281"/>
              <w:rPr>
                <w:szCs w:val="22"/>
                <w:lang w:val="el-GR"/>
              </w:rPr>
            </w:pPr>
            <w:r>
              <w:rPr>
                <w:szCs w:val="22"/>
                <w:lang w:val="el-GR"/>
              </w:rPr>
              <w:t>Χαμηλός</w:t>
            </w:r>
          </w:p>
        </w:tc>
        <w:tc>
          <w:tcPr>
            <w:tcW w:w="2160" w:type="dxa"/>
          </w:tcPr>
          <w:p w:rsidR="004B417C" w:rsidRPr="00901310" w:rsidRDefault="004B417C">
            <w:pPr>
              <w:ind w:right="281"/>
              <w:jc w:val="right"/>
              <w:rPr>
                <w:bCs/>
                <w:szCs w:val="22"/>
                <w:lang w:val="el-GR"/>
              </w:rPr>
            </w:pPr>
            <w:r>
              <w:rPr>
                <w:bCs/>
                <w:szCs w:val="22"/>
              </w:rPr>
              <w:t>8.24</w:t>
            </w:r>
            <w:r>
              <w:rPr>
                <w:bCs/>
                <w:szCs w:val="22"/>
                <w:lang w:val="el-GR"/>
              </w:rPr>
              <w:t>0</w:t>
            </w:r>
          </w:p>
        </w:tc>
        <w:tc>
          <w:tcPr>
            <w:tcW w:w="2464" w:type="dxa"/>
          </w:tcPr>
          <w:p w:rsidR="004B417C" w:rsidRDefault="004B417C">
            <w:pPr>
              <w:ind w:right="281"/>
              <w:jc w:val="right"/>
              <w:rPr>
                <w:bCs/>
                <w:szCs w:val="22"/>
                <w:lang w:val="el-GR"/>
              </w:rPr>
            </w:pPr>
            <w:r>
              <w:rPr>
                <w:bCs/>
                <w:szCs w:val="22"/>
                <w:lang w:val="el-GR"/>
              </w:rPr>
              <w:t>(</w:t>
            </w:r>
            <w:r>
              <w:rPr>
                <w:bCs/>
                <w:szCs w:val="22"/>
              </w:rPr>
              <w:t>204</w:t>
            </w:r>
            <w:r>
              <w:rPr>
                <w:bCs/>
                <w:szCs w:val="22"/>
                <w:lang w:val="el-GR"/>
              </w:rPr>
              <w:t>)</w:t>
            </w:r>
          </w:p>
        </w:tc>
        <w:tc>
          <w:tcPr>
            <w:tcW w:w="1028" w:type="dxa"/>
          </w:tcPr>
          <w:p w:rsidR="004B417C" w:rsidRDefault="004B417C">
            <w:pPr>
              <w:ind w:right="281"/>
              <w:jc w:val="right"/>
              <w:rPr>
                <w:bCs/>
                <w:szCs w:val="22"/>
                <w:lang w:val="el-GR"/>
              </w:rPr>
            </w:pPr>
          </w:p>
        </w:tc>
      </w:tr>
      <w:tr w:rsidR="004B417C">
        <w:tc>
          <w:tcPr>
            <w:tcW w:w="1485" w:type="dxa"/>
          </w:tcPr>
          <w:p w:rsidR="004B417C" w:rsidRDefault="004B417C">
            <w:pPr>
              <w:ind w:right="281"/>
              <w:jc w:val="center"/>
              <w:rPr>
                <w:b/>
                <w:szCs w:val="22"/>
                <w:lang w:val="el-GR"/>
              </w:rPr>
            </w:pPr>
            <w:r>
              <w:rPr>
                <w:b/>
                <w:szCs w:val="22"/>
                <w:lang w:val="el-GR"/>
              </w:rPr>
              <w:t>Γ</w:t>
            </w:r>
          </w:p>
        </w:tc>
        <w:tc>
          <w:tcPr>
            <w:tcW w:w="2043" w:type="dxa"/>
          </w:tcPr>
          <w:p w:rsidR="004B417C" w:rsidRDefault="004B417C">
            <w:pPr>
              <w:ind w:right="281"/>
              <w:rPr>
                <w:szCs w:val="22"/>
                <w:lang w:val="el-GR"/>
              </w:rPr>
            </w:pPr>
            <w:r>
              <w:rPr>
                <w:szCs w:val="22"/>
                <w:lang w:val="el-GR"/>
              </w:rPr>
              <w:t>Μέσος</w:t>
            </w:r>
          </w:p>
        </w:tc>
        <w:tc>
          <w:tcPr>
            <w:tcW w:w="2160" w:type="dxa"/>
          </w:tcPr>
          <w:p w:rsidR="004B417C" w:rsidRPr="00801310" w:rsidRDefault="004B417C">
            <w:pPr>
              <w:ind w:right="281"/>
              <w:jc w:val="right"/>
              <w:rPr>
                <w:bCs/>
                <w:szCs w:val="22"/>
              </w:rPr>
            </w:pPr>
            <w:r>
              <w:rPr>
                <w:bCs/>
                <w:szCs w:val="22"/>
              </w:rPr>
              <w:t>5.237</w:t>
            </w:r>
          </w:p>
        </w:tc>
        <w:tc>
          <w:tcPr>
            <w:tcW w:w="2464" w:type="dxa"/>
          </w:tcPr>
          <w:p w:rsidR="004B417C" w:rsidRDefault="004B417C">
            <w:pPr>
              <w:ind w:right="281"/>
              <w:jc w:val="right"/>
              <w:rPr>
                <w:bCs/>
                <w:szCs w:val="22"/>
                <w:lang w:val="el-GR"/>
              </w:rPr>
            </w:pPr>
            <w:r>
              <w:rPr>
                <w:bCs/>
                <w:szCs w:val="22"/>
                <w:lang w:val="el-GR"/>
              </w:rPr>
              <w:t>(</w:t>
            </w:r>
            <w:r>
              <w:rPr>
                <w:bCs/>
                <w:szCs w:val="22"/>
              </w:rPr>
              <w:t>1</w:t>
            </w:r>
            <w:r>
              <w:rPr>
                <w:bCs/>
                <w:szCs w:val="22"/>
                <w:lang w:val="el-GR"/>
              </w:rPr>
              <w:t>30)</w:t>
            </w:r>
          </w:p>
        </w:tc>
        <w:tc>
          <w:tcPr>
            <w:tcW w:w="1028" w:type="dxa"/>
          </w:tcPr>
          <w:p w:rsidR="004B417C" w:rsidRDefault="004B417C">
            <w:pPr>
              <w:ind w:right="281"/>
              <w:jc w:val="right"/>
              <w:rPr>
                <w:bCs/>
                <w:szCs w:val="22"/>
                <w:lang w:val="el-GR"/>
              </w:rPr>
            </w:pPr>
          </w:p>
        </w:tc>
      </w:tr>
      <w:tr w:rsidR="004B417C">
        <w:tc>
          <w:tcPr>
            <w:tcW w:w="1485" w:type="dxa"/>
          </w:tcPr>
          <w:p w:rsidR="004B417C" w:rsidRDefault="004B417C">
            <w:pPr>
              <w:ind w:right="281"/>
              <w:jc w:val="center"/>
              <w:rPr>
                <w:b/>
                <w:szCs w:val="22"/>
                <w:lang w:val="el-GR"/>
              </w:rPr>
            </w:pPr>
            <w:r>
              <w:rPr>
                <w:b/>
                <w:szCs w:val="22"/>
                <w:lang w:val="el-GR"/>
              </w:rPr>
              <w:t>Δ</w:t>
            </w:r>
          </w:p>
        </w:tc>
        <w:tc>
          <w:tcPr>
            <w:tcW w:w="2043" w:type="dxa"/>
          </w:tcPr>
          <w:p w:rsidR="004B417C" w:rsidRDefault="004B417C">
            <w:pPr>
              <w:ind w:right="281"/>
              <w:rPr>
                <w:szCs w:val="22"/>
                <w:lang w:val="el-GR"/>
              </w:rPr>
            </w:pPr>
            <w:r>
              <w:rPr>
                <w:szCs w:val="22"/>
                <w:lang w:val="el-GR"/>
              </w:rPr>
              <w:t>Υψηλός</w:t>
            </w:r>
          </w:p>
        </w:tc>
        <w:tc>
          <w:tcPr>
            <w:tcW w:w="2160" w:type="dxa"/>
          </w:tcPr>
          <w:p w:rsidR="004B417C" w:rsidRPr="00801310" w:rsidRDefault="004B417C">
            <w:pPr>
              <w:ind w:right="281"/>
              <w:jc w:val="right"/>
              <w:rPr>
                <w:bCs/>
                <w:szCs w:val="22"/>
              </w:rPr>
            </w:pPr>
            <w:r>
              <w:rPr>
                <w:bCs/>
                <w:szCs w:val="22"/>
              </w:rPr>
              <w:t>37.877</w:t>
            </w:r>
          </w:p>
        </w:tc>
        <w:tc>
          <w:tcPr>
            <w:tcW w:w="2464" w:type="dxa"/>
          </w:tcPr>
          <w:p w:rsidR="004B417C" w:rsidRDefault="004B417C">
            <w:pPr>
              <w:ind w:right="281"/>
              <w:jc w:val="right"/>
              <w:rPr>
                <w:bCs/>
                <w:szCs w:val="22"/>
                <w:lang w:val="el-GR"/>
              </w:rPr>
            </w:pPr>
            <w:r>
              <w:rPr>
                <w:bCs/>
                <w:szCs w:val="22"/>
                <w:lang w:val="el-GR"/>
              </w:rPr>
              <w:t>(</w:t>
            </w:r>
            <w:r>
              <w:rPr>
                <w:bCs/>
                <w:szCs w:val="22"/>
              </w:rPr>
              <w:t>841</w:t>
            </w:r>
            <w:r>
              <w:rPr>
                <w:bCs/>
                <w:szCs w:val="22"/>
                <w:lang w:val="el-GR"/>
              </w:rPr>
              <w:t>)</w:t>
            </w:r>
          </w:p>
        </w:tc>
        <w:tc>
          <w:tcPr>
            <w:tcW w:w="1028" w:type="dxa"/>
          </w:tcPr>
          <w:p w:rsidR="004B417C" w:rsidRDefault="004B417C">
            <w:pPr>
              <w:ind w:right="281"/>
              <w:jc w:val="right"/>
              <w:rPr>
                <w:bCs/>
                <w:szCs w:val="22"/>
                <w:lang w:val="el-GR"/>
              </w:rPr>
            </w:pPr>
          </w:p>
        </w:tc>
      </w:tr>
      <w:tr w:rsidR="004B417C">
        <w:tc>
          <w:tcPr>
            <w:tcW w:w="1485" w:type="dxa"/>
          </w:tcPr>
          <w:p w:rsidR="004B417C" w:rsidRDefault="004B417C">
            <w:pPr>
              <w:ind w:right="281"/>
              <w:jc w:val="center"/>
              <w:rPr>
                <w:b/>
                <w:szCs w:val="22"/>
                <w:lang w:val="el-GR"/>
              </w:rPr>
            </w:pPr>
            <w:r>
              <w:rPr>
                <w:b/>
                <w:szCs w:val="22"/>
                <w:lang w:val="el-GR"/>
              </w:rPr>
              <w:t>Ε</w:t>
            </w:r>
          </w:p>
        </w:tc>
        <w:tc>
          <w:tcPr>
            <w:tcW w:w="2043" w:type="dxa"/>
          </w:tcPr>
          <w:p w:rsidR="004B417C" w:rsidRDefault="004B417C">
            <w:pPr>
              <w:ind w:right="281"/>
              <w:rPr>
                <w:szCs w:val="22"/>
                <w:lang w:val="el-GR"/>
              </w:rPr>
            </w:pPr>
            <w:r>
              <w:rPr>
                <w:szCs w:val="22"/>
                <w:lang w:val="el-GR"/>
              </w:rPr>
              <w:t>Ζημιογόνος</w:t>
            </w:r>
          </w:p>
        </w:tc>
        <w:tc>
          <w:tcPr>
            <w:tcW w:w="2160" w:type="dxa"/>
          </w:tcPr>
          <w:p w:rsidR="004B417C" w:rsidRPr="00801310" w:rsidRDefault="004B417C">
            <w:pPr>
              <w:ind w:right="281"/>
              <w:jc w:val="right"/>
              <w:rPr>
                <w:bCs/>
                <w:szCs w:val="22"/>
              </w:rPr>
            </w:pPr>
            <w:r>
              <w:rPr>
                <w:bCs/>
                <w:szCs w:val="22"/>
              </w:rPr>
              <w:t>736</w:t>
            </w:r>
          </w:p>
        </w:tc>
        <w:tc>
          <w:tcPr>
            <w:tcW w:w="2464" w:type="dxa"/>
          </w:tcPr>
          <w:p w:rsidR="004B417C" w:rsidRDefault="004B417C">
            <w:pPr>
              <w:ind w:right="281"/>
              <w:jc w:val="right"/>
              <w:rPr>
                <w:bCs/>
                <w:szCs w:val="22"/>
              </w:rPr>
            </w:pPr>
            <w:r>
              <w:rPr>
                <w:bCs/>
                <w:szCs w:val="22"/>
              </w:rPr>
              <w:t>(96</w:t>
            </w:r>
            <w:r>
              <w:rPr>
                <w:bCs/>
                <w:szCs w:val="22"/>
                <w:lang w:val="el-GR"/>
              </w:rPr>
              <w:t>)</w:t>
            </w:r>
          </w:p>
        </w:tc>
        <w:tc>
          <w:tcPr>
            <w:tcW w:w="1028" w:type="dxa"/>
          </w:tcPr>
          <w:p w:rsidR="004B417C" w:rsidRDefault="004B417C">
            <w:pPr>
              <w:ind w:right="281"/>
              <w:jc w:val="right"/>
              <w:rPr>
                <w:bCs/>
                <w:szCs w:val="22"/>
              </w:rPr>
            </w:pPr>
          </w:p>
        </w:tc>
      </w:tr>
      <w:tr w:rsidR="004B417C">
        <w:tc>
          <w:tcPr>
            <w:tcW w:w="1485" w:type="dxa"/>
          </w:tcPr>
          <w:p w:rsidR="004B417C" w:rsidRDefault="004B417C">
            <w:pPr>
              <w:ind w:right="281"/>
              <w:jc w:val="center"/>
              <w:rPr>
                <w:b/>
                <w:szCs w:val="22"/>
                <w:lang w:val="el-GR"/>
              </w:rPr>
            </w:pPr>
            <w:r>
              <w:rPr>
                <w:b/>
                <w:szCs w:val="22"/>
                <w:lang w:val="el-GR"/>
              </w:rPr>
              <w:t>Ζ</w:t>
            </w:r>
          </w:p>
        </w:tc>
        <w:tc>
          <w:tcPr>
            <w:tcW w:w="2043" w:type="dxa"/>
          </w:tcPr>
          <w:p w:rsidR="004B417C" w:rsidRDefault="004B417C">
            <w:pPr>
              <w:ind w:right="281"/>
              <w:rPr>
                <w:szCs w:val="22"/>
                <w:lang w:val="el-GR"/>
              </w:rPr>
            </w:pPr>
            <w:r>
              <w:rPr>
                <w:szCs w:val="22"/>
                <w:lang w:val="el-GR"/>
              </w:rPr>
              <w:t>Επισφάλεια</w:t>
            </w:r>
          </w:p>
        </w:tc>
        <w:tc>
          <w:tcPr>
            <w:tcW w:w="2160" w:type="dxa"/>
            <w:tcBorders>
              <w:bottom w:val="single" w:sz="4" w:space="0" w:color="auto"/>
            </w:tcBorders>
          </w:tcPr>
          <w:p w:rsidR="004B417C" w:rsidRPr="002A5EF2" w:rsidRDefault="004B417C">
            <w:pPr>
              <w:ind w:right="281"/>
              <w:jc w:val="right"/>
              <w:rPr>
                <w:bCs/>
                <w:szCs w:val="22"/>
                <w:lang w:val="el-GR"/>
              </w:rPr>
            </w:pPr>
            <w:r>
              <w:rPr>
                <w:bCs/>
                <w:szCs w:val="22"/>
              </w:rPr>
              <w:t>2</w:t>
            </w:r>
            <w:r>
              <w:rPr>
                <w:bCs/>
                <w:szCs w:val="22"/>
                <w:lang w:val="el-GR"/>
              </w:rPr>
              <w:t>84</w:t>
            </w:r>
            <w:r>
              <w:rPr>
                <w:bCs/>
                <w:szCs w:val="22"/>
              </w:rPr>
              <w:t>.</w:t>
            </w:r>
            <w:r>
              <w:rPr>
                <w:bCs/>
                <w:szCs w:val="22"/>
                <w:lang w:val="el-GR"/>
              </w:rPr>
              <w:t>580</w:t>
            </w:r>
          </w:p>
        </w:tc>
        <w:tc>
          <w:tcPr>
            <w:tcW w:w="2464" w:type="dxa"/>
            <w:tcBorders>
              <w:bottom w:val="single" w:sz="4" w:space="0" w:color="auto"/>
            </w:tcBorders>
          </w:tcPr>
          <w:p w:rsidR="004B417C" w:rsidRDefault="004B417C">
            <w:pPr>
              <w:ind w:right="281"/>
              <w:jc w:val="right"/>
              <w:rPr>
                <w:bCs/>
                <w:szCs w:val="22"/>
              </w:rPr>
            </w:pPr>
            <w:r>
              <w:rPr>
                <w:bCs/>
                <w:szCs w:val="22"/>
              </w:rPr>
              <w:t>(1</w:t>
            </w:r>
            <w:r>
              <w:rPr>
                <w:bCs/>
                <w:szCs w:val="22"/>
                <w:lang w:val="el-GR"/>
              </w:rPr>
              <w:t>72</w:t>
            </w:r>
            <w:r>
              <w:rPr>
                <w:bCs/>
                <w:szCs w:val="22"/>
              </w:rPr>
              <w:t>.</w:t>
            </w:r>
            <w:r>
              <w:rPr>
                <w:bCs/>
                <w:szCs w:val="22"/>
                <w:lang w:val="el-GR"/>
              </w:rPr>
              <w:t>890</w:t>
            </w:r>
            <w:r>
              <w:rPr>
                <w:bCs/>
                <w:szCs w:val="22"/>
              </w:rPr>
              <w:t>)</w:t>
            </w:r>
          </w:p>
        </w:tc>
        <w:tc>
          <w:tcPr>
            <w:tcW w:w="1028" w:type="dxa"/>
            <w:tcBorders>
              <w:bottom w:val="single" w:sz="4" w:space="0" w:color="auto"/>
            </w:tcBorders>
          </w:tcPr>
          <w:p w:rsidR="004B417C" w:rsidRDefault="004B417C">
            <w:pPr>
              <w:ind w:right="281"/>
              <w:jc w:val="right"/>
              <w:rPr>
                <w:bCs/>
                <w:szCs w:val="22"/>
              </w:rPr>
            </w:pPr>
          </w:p>
        </w:tc>
      </w:tr>
      <w:tr w:rsidR="004B417C">
        <w:tc>
          <w:tcPr>
            <w:tcW w:w="1485" w:type="dxa"/>
          </w:tcPr>
          <w:p w:rsidR="004B417C" w:rsidRDefault="004B417C">
            <w:pPr>
              <w:ind w:right="281"/>
              <w:jc w:val="center"/>
              <w:rPr>
                <w:b/>
                <w:szCs w:val="22"/>
                <w:lang w:val="el-GR"/>
              </w:rPr>
            </w:pPr>
          </w:p>
        </w:tc>
        <w:tc>
          <w:tcPr>
            <w:tcW w:w="2043" w:type="dxa"/>
          </w:tcPr>
          <w:p w:rsidR="004B417C" w:rsidRDefault="004B417C">
            <w:pPr>
              <w:ind w:right="281"/>
              <w:rPr>
                <w:b/>
                <w:szCs w:val="22"/>
                <w:lang w:val="el-GR"/>
              </w:rPr>
            </w:pPr>
            <w:r>
              <w:rPr>
                <w:b/>
                <w:szCs w:val="22"/>
                <w:lang w:val="el-GR"/>
              </w:rPr>
              <w:t>Σύνολο</w:t>
            </w:r>
          </w:p>
        </w:tc>
        <w:tc>
          <w:tcPr>
            <w:tcW w:w="2160" w:type="dxa"/>
            <w:tcBorders>
              <w:top w:val="single" w:sz="4" w:space="0" w:color="auto"/>
              <w:bottom w:val="double" w:sz="4" w:space="0" w:color="auto"/>
            </w:tcBorders>
          </w:tcPr>
          <w:p w:rsidR="004B417C" w:rsidRPr="002A5EF2" w:rsidRDefault="004B417C">
            <w:pPr>
              <w:ind w:right="281"/>
              <w:jc w:val="right"/>
              <w:rPr>
                <w:b/>
                <w:szCs w:val="22"/>
                <w:lang w:val="el-GR"/>
              </w:rPr>
            </w:pPr>
            <w:r>
              <w:rPr>
                <w:b/>
                <w:szCs w:val="22"/>
              </w:rPr>
              <w:t>3</w:t>
            </w:r>
            <w:r>
              <w:rPr>
                <w:b/>
                <w:szCs w:val="22"/>
                <w:lang w:val="el-GR"/>
              </w:rPr>
              <w:t>5</w:t>
            </w:r>
            <w:r>
              <w:rPr>
                <w:b/>
                <w:szCs w:val="22"/>
              </w:rPr>
              <w:t>1.</w:t>
            </w:r>
            <w:r>
              <w:rPr>
                <w:b/>
                <w:szCs w:val="22"/>
                <w:lang w:val="el-GR"/>
              </w:rPr>
              <w:t>121</w:t>
            </w:r>
          </w:p>
        </w:tc>
        <w:tc>
          <w:tcPr>
            <w:tcW w:w="2464" w:type="dxa"/>
            <w:tcBorders>
              <w:top w:val="single" w:sz="4" w:space="0" w:color="auto"/>
              <w:bottom w:val="double" w:sz="4" w:space="0" w:color="auto"/>
            </w:tcBorders>
          </w:tcPr>
          <w:p w:rsidR="004B417C" w:rsidRDefault="004B417C">
            <w:pPr>
              <w:ind w:right="281"/>
              <w:jc w:val="right"/>
              <w:rPr>
                <w:b/>
                <w:szCs w:val="22"/>
              </w:rPr>
            </w:pPr>
            <w:r>
              <w:rPr>
                <w:b/>
                <w:szCs w:val="22"/>
              </w:rPr>
              <w:t>(1</w:t>
            </w:r>
            <w:r>
              <w:rPr>
                <w:b/>
                <w:szCs w:val="22"/>
                <w:lang w:val="el-GR"/>
              </w:rPr>
              <w:t>74</w:t>
            </w:r>
            <w:r>
              <w:rPr>
                <w:b/>
                <w:szCs w:val="22"/>
              </w:rPr>
              <w:t>.</w:t>
            </w:r>
            <w:r w:rsidR="00865010">
              <w:rPr>
                <w:b/>
                <w:szCs w:val="22"/>
                <w:lang w:val="el-GR"/>
              </w:rPr>
              <w:t>174</w:t>
            </w:r>
            <w:r>
              <w:rPr>
                <w:b/>
                <w:szCs w:val="22"/>
              </w:rPr>
              <w:t>)</w:t>
            </w:r>
          </w:p>
        </w:tc>
        <w:tc>
          <w:tcPr>
            <w:tcW w:w="1028" w:type="dxa"/>
            <w:tcBorders>
              <w:top w:val="single" w:sz="4" w:space="0" w:color="auto"/>
              <w:bottom w:val="double" w:sz="4" w:space="0" w:color="auto"/>
            </w:tcBorders>
          </w:tcPr>
          <w:p w:rsidR="004B417C" w:rsidRPr="00E23763" w:rsidRDefault="00B3724A">
            <w:pPr>
              <w:ind w:right="281"/>
              <w:jc w:val="right"/>
              <w:rPr>
                <w:b/>
                <w:szCs w:val="22"/>
                <w:lang w:val="el-GR"/>
              </w:rPr>
            </w:pPr>
            <w:r>
              <w:rPr>
                <w:b/>
                <w:szCs w:val="22"/>
                <w:lang w:val="el-GR"/>
              </w:rPr>
              <w:t>50</w:t>
            </w:r>
            <w:r w:rsidR="004B417C">
              <w:rPr>
                <w:b/>
                <w:szCs w:val="22"/>
                <w:lang w:val="el-GR"/>
              </w:rPr>
              <w:t>%</w:t>
            </w:r>
          </w:p>
        </w:tc>
      </w:tr>
    </w:tbl>
    <w:p w:rsidR="004B417C" w:rsidRDefault="004B417C">
      <w:pPr>
        <w:ind w:right="281"/>
        <w:jc w:val="center"/>
        <w:rPr>
          <w:b/>
          <w:szCs w:val="22"/>
          <w:lang w:val="el-GR"/>
        </w:rPr>
      </w:pPr>
    </w:p>
    <w:p w:rsidR="004B417C" w:rsidRDefault="004B417C">
      <w:pPr>
        <w:ind w:right="281"/>
        <w:jc w:val="center"/>
        <w:rPr>
          <w:b/>
          <w:szCs w:val="22"/>
          <w:lang w:val="el-GR"/>
        </w:rPr>
      </w:pPr>
    </w:p>
    <w:tbl>
      <w:tblPr>
        <w:tblpPr w:leftFromText="180" w:rightFromText="180" w:vertAnchor="text" w:horzAnchor="margin" w:tblpXSpec="center" w:tblpY="-214"/>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85"/>
        <w:gridCol w:w="2043"/>
        <w:gridCol w:w="2160"/>
        <w:gridCol w:w="2520"/>
        <w:gridCol w:w="972"/>
      </w:tblGrid>
      <w:tr w:rsidR="004B417C">
        <w:tc>
          <w:tcPr>
            <w:tcW w:w="8208" w:type="dxa"/>
            <w:gridSpan w:val="4"/>
            <w:tcBorders>
              <w:top w:val="nil"/>
              <w:left w:val="nil"/>
              <w:bottom w:val="nil"/>
              <w:right w:val="nil"/>
            </w:tcBorders>
            <w:vAlign w:val="center"/>
          </w:tcPr>
          <w:p w:rsidR="004B417C" w:rsidRDefault="004B417C" w:rsidP="005660D2">
            <w:pPr>
              <w:ind w:right="281"/>
              <w:jc w:val="center"/>
              <w:rPr>
                <w:b/>
                <w:szCs w:val="22"/>
                <w:u w:val="single"/>
                <w:lang w:val="el-GR"/>
              </w:rPr>
            </w:pPr>
            <w:r w:rsidRPr="002A5EF2">
              <w:rPr>
                <w:b/>
                <w:szCs w:val="22"/>
                <w:lang w:val="el-GR"/>
              </w:rPr>
              <w:lastRenderedPageBreak/>
              <w:t xml:space="preserve">            </w:t>
            </w:r>
            <w:r>
              <w:rPr>
                <w:b/>
                <w:szCs w:val="22"/>
                <w:u w:val="single"/>
                <w:lang w:val="el-GR"/>
              </w:rPr>
              <w:t xml:space="preserve">      </w:t>
            </w:r>
            <w:r w:rsidRPr="002A5EF2">
              <w:rPr>
                <w:b/>
                <w:szCs w:val="22"/>
                <w:u w:val="single"/>
                <w:lang w:val="el-GR"/>
              </w:rPr>
              <w:t xml:space="preserve"> </w:t>
            </w:r>
          </w:p>
          <w:p w:rsidR="004B417C" w:rsidRPr="00801310" w:rsidRDefault="004B417C" w:rsidP="005660D2">
            <w:pPr>
              <w:ind w:right="281"/>
              <w:jc w:val="center"/>
              <w:rPr>
                <w:b/>
                <w:szCs w:val="22"/>
                <w:u w:val="single"/>
              </w:rPr>
            </w:pPr>
            <w:r w:rsidRPr="002A5EF2">
              <w:rPr>
                <w:b/>
                <w:szCs w:val="22"/>
                <w:lang w:val="el-GR"/>
              </w:rPr>
              <w:t xml:space="preserve">                  </w:t>
            </w:r>
            <w:r>
              <w:rPr>
                <w:b/>
                <w:szCs w:val="22"/>
                <w:u w:val="single"/>
                <w:lang w:val="el-GR"/>
              </w:rPr>
              <w:t>31 Δεκεμβρίου 20</w:t>
            </w:r>
            <w:r>
              <w:rPr>
                <w:b/>
                <w:szCs w:val="22"/>
                <w:u w:val="single"/>
              </w:rPr>
              <w:t>11</w:t>
            </w:r>
          </w:p>
        </w:tc>
        <w:tc>
          <w:tcPr>
            <w:tcW w:w="972" w:type="dxa"/>
            <w:tcBorders>
              <w:top w:val="nil"/>
              <w:left w:val="nil"/>
              <w:bottom w:val="nil"/>
              <w:right w:val="nil"/>
            </w:tcBorders>
          </w:tcPr>
          <w:p w:rsidR="004B417C" w:rsidRDefault="004B417C" w:rsidP="00297F94">
            <w:pPr>
              <w:ind w:right="281"/>
              <w:jc w:val="center"/>
              <w:rPr>
                <w:b/>
                <w:szCs w:val="22"/>
                <w:u w:val="single"/>
                <w:lang w:val="el-GR"/>
              </w:rPr>
            </w:pPr>
          </w:p>
        </w:tc>
      </w:tr>
      <w:tr w:rsidR="004B417C">
        <w:tc>
          <w:tcPr>
            <w:tcW w:w="1485" w:type="dxa"/>
            <w:tcBorders>
              <w:top w:val="nil"/>
              <w:left w:val="nil"/>
              <w:bottom w:val="nil"/>
              <w:right w:val="nil"/>
            </w:tcBorders>
            <w:vAlign w:val="center"/>
          </w:tcPr>
          <w:p w:rsidR="004B417C" w:rsidRDefault="004B417C" w:rsidP="00631F7F">
            <w:pPr>
              <w:ind w:right="281"/>
              <w:jc w:val="center"/>
              <w:rPr>
                <w:b/>
                <w:szCs w:val="22"/>
                <w:lang w:val="el-GR"/>
              </w:rPr>
            </w:pPr>
            <w:r>
              <w:rPr>
                <w:b/>
                <w:szCs w:val="22"/>
                <w:lang w:val="el-GR"/>
              </w:rPr>
              <w:br/>
            </w:r>
            <w:r>
              <w:rPr>
                <w:b/>
                <w:szCs w:val="22"/>
                <w:lang w:val="el-GR"/>
              </w:rPr>
              <w:br/>
            </w:r>
            <w:r w:rsidRPr="00D9710C">
              <w:rPr>
                <w:b/>
                <w:szCs w:val="22"/>
                <w:lang w:val="el-GR"/>
              </w:rPr>
              <w:br/>
            </w:r>
            <w:r>
              <w:rPr>
                <w:b/>
                <w:szCs w:val="22"/>
                <w:lang w:val="el-GR"/>
              </w:rPr>
              <w:t>Βαθμίδα</w:t>
            </w:r>
          </w:p>
        </w:tc>
        <w:tc>
          <w:tcPr>
            <w:tcW w:w="2043" w:type="dxa"/>
            <w:tcBorders>
              <w:top w:val="nil"/>
              <w:left w:val="nil"/>
              <w:bottom w:val="nil"/>
              <w:right w:val="nil"/>
            </w:tcBorders>
            <w:vAlign w:val="center"/>
          </w:tcPr>
          <w:p w:rsidR="004B417C" w:rsidRDefault="004B417C" w:rsidP="00631F7F">
            <w:pPr>
              <w:ind w:right="281"/>
              <w:jc w:val="center"/>
              <w:rPr>
                <w:b/>
                <w:szCs w:val="22"/>
                <w:lang w:val="el-GR"/>
              </w:rPr>
            </w:pPr>
            <w:r>
              <w:rPr>
                <w:b/>
                <w:szCs w:val="22"/>
                <w:lang w:val="el-GR"/>
              </w:rPr>
              <w:br/>
            </w:r>
            <w:r>
              <w:rPr>
                <w:b/>
                <w:szCs w:val="22"/>
                <w:lang w:val="el-GR"/>
              </w:rPr>
              <w:br/>
              <w:t>Βαθμός Κινδύνου</w:t>
            </w:r>
          </w:p>
        </w:tc>
        <w:tc>
          <w:tcPr>
            <w:tcW w:w="2160" w:type="dxa"/>
            <w:tcBorders>
              <w:top w:val="nil"/>
              <w:left w:val="nil"/>
              <w:bottom w:val="nil"/>
              <w:right w:val="nil"/>
            </w:tcBorders>
            <w:vAlign w:val="center"/>
          </w:tcPr>
          <w:p w:rsidR="004B417C" w:rsidRDefault="004B417C" w:rsidP="00631F7F">
            <w:pPr>
              <w:ind w:right="281"/>
              <w:jc w:val="center"/>
              <w:rPr>
                <w:b/>
                <w:szCs w:val="22"/>
                <w:lang w:val="el-GR"/>
              </w:rPr>
            </w:pPr>
            <w:r>
              <w:rPr>
                <w:b/>
                <w:szCs w:val="22"/>
              </w:rPr>
              <w:br/>
            </w:r>
            <w:r>
              <w:rPr>
                <w:b/>
                <w:szCs w:val="22"/>
                <w:lang w:val="el-GR"/>
              </w:rPr>
              <w:t>Δάνεια/</w:t>
            </w:r>
          </w:p>
          <w:p w:rsidR="004B417C" w:rsidRDefault="004B417C" w:rsidP="00631F7F">
            <w:pPr>
              <w:ind w:right="281"/>
              <w:jc w:val="center"/>
              <w:rPr>
                <w:b/>
                <w:szCs w:val="22"/>
                <w:lang w:val="el-GR"/>
              </w:rPr>
            </w:pPr>
            <w:r>
              <w:rPr>
                <w:b/>
                <w:szCs w:val="22"/>
                <w:lang w:val="el-GR"/>
              </w:rPr>
              <w:t>προκαταβολές</w:t>
            </w:r>
          </w:p>
          <w:p w:rsidR="004B417C" w:rsidRDefault="004B417C" w:rsidP="00631F7F">
            <w:pPr>
              <w:ind w:right="281"/>
              <w:jc w:val="center"/>
              <w:rPr>
                <w:b/>
                <w:szCs w:val="22"/>
                <w:lang w:val="el-GR"/>
              </w:rPr>
            </w:pPr>
            <w:r>
              <w:rPr>
                <w:b/>
                <w:szCs w:val="22"/>
                <w:lang w:val="el-GR"/>
              </w:rPr>
              <w:t>σε πελάτες</w:t>
            </w:r>
          </w:p>
        </w:tc>
        <w:tc>
          <w:tcPr>
            <w:tcW w:w="2520" w:type="dxa"/>
            <w:tcBorders>
              <w:top w:val="nil"/>
              <w:left w:val="nil"/>
              <w:bottom w:val="nil"/>
              <w:right w:val="nil"/>
            </w:tcBorders>
            <w:vAlign w:val="center"/>
          </w:tcPr>
          <w:p w:rsidR="004B417C" w:rsidRDefault="004B417C" w:rsidP="00631F7F">
            <w:pPr>
              <w:ind w:right="281"/>
              <w:jc w:val="right"/>
              <w:rPr>
                <w:b/>
                <w:szCs w:val="22"/>
                <w:lang w:val="el-GR"/>
              </w:rPr>
            </w:pPr>
            <w:r>
              <w:rPr>
                <w:b/>
                <w:szCs w:val="22"/>
              </w:rPr>
              <w:br/>
            </w:r>
            <w:r>
              <w:rPr>
                <w:b/>
                <w:szCs w:val="22"/>
                <w:lang w:val="el-GR"/>
              </w:rPr>
              <w:br/>
            </w:r>
            <w:r>
              <w:rPr>
                <w:b/>
                <w:szCs w:val="22"/>
                <w:lang w:val="el-GR"/>
              </w:rPr>
              <w:br/>
              <w:t>Προβλέψεις</w:t>
            </w:r>
          </w:p>
        </w:tc>
        <w:tc>
          <w:tcPr>
            <w:tcW w:w="972" w:type="dxa"/>
            <w:tcBorders>
              <w:top w:val="nil"/>
              <w:left w:val="nil"/>
              <w:bottom w:val="nil"/>
              <w:right w:val="nil"/>
            </w:tcBorders>
          </w:tcPr>
          <w:p w:rsidR="004B417C" w:rsidRDefault="004B417C" w:rsidP="00631F7F">
            <w:pPr>
              <w:ind w:right="281"/>
              <w:jc w:val="right"/>
              <w:rPr>
                <w:b/>
                <w:szCs w:val="22"/>
              </w:rPr>
            </w:pPr>
          </w:p>
        </w:tc>
      </w:tr>
      <w:tr w:rsidR="004B417C">
        <w:tc>
          <w:tcPr>
            <w:tcW w:w="1485" w:type="dxa"/>
            <w:tcBorders>
              <w:top w:val="nil"/>
              <w:left w:val="nil"/>
              <w:bottom w:val="nil"/>
              <w:right w:val="nil"/>
            </w:tcBorders>
          </w:tcPr>
          <w:p w:rsidR="004B417C" w:rsidRDefault="004B417C" w:rsidP="00631F7F">
            <w:pPr>
              <w:ind w:right="281"/>
              <w:jc w:val="center"/>
              <w:rPr>
                <w:b/>
                <w:szCs w:val="22"/>
                <w:lang w:val="el-GR"/>
              </w:rPr>
            </w:pPr>
          </w:p>
        </w:tc>
        <w:tc>
          <w:tcPr>
            <w:tcW w:w="2043" w:type="dxa"/>
            <w:tcBorders>
              <w:top w:val="nil"/>
              <w:left w:val="nil"/>
              <w:bottom w:val="nil"/>
              <w:right w:val="nil"/>
            </w:tcBorders>
          </w:tcPr>
          <w:p w:rsidR="004B417C" w:rsidRDefault="004B417C" w:rsidP="00631F7F">
            <w:pPr>
              <w:ind w:right="281"/>
              <w:jc w:val="center"/>
              <w:rPr>
                <w:b/>
                <w:szCs w:val="22"/>
                <w:lang w:val="el-GR"/>
              </w:rPr>
            </w:pPr>
          </w:p>
        </w:tc>
        <w:tc>
          <w:tcPr>
            <w:tcW w:w="2160" w:type="dxa"/>
            <w:tcBorders>
              <w:top w:val="nil"/>
              <w:left w:val="nil"/>
              <w:bottom w:val="nil"/>
              <w:right w:val="nil"/>
            </w:tcBorders>
          </w:tcPr>
          <w:p w:rsidR="004B417C" w:rsidRDefault="004B417C" w:rsidP="00631F7F">
            <w:pPr>
              <w:ind w:right="281"/>
              <w:jc w:val="right"/>
              <w:rPr>
                <w:bCs/>
                <w:szCs w:val="22"/>
                <w:lang w:val="el-GR"/>
              </w:rPr>
            </w:pPr>
          </w:p>
        </w:tc>
        <w:tc>
          <w:tcPr>
            <w:tcW w:w="2520" w:type="dxa"/>
            <w:tcBorders>
              <w:top w:val="nil"/>
              <w:left w:val="nil"/>
              <w:bottom w:val="nil"/>
              <w:right w:val="nil"/>
            </w:tcBorders>
          </w:tcPr>
          <w:p w:rsidR="004B417C" w:rsidRDefault="004B417C" w:rsidP="00631F7F">
            <w:pPr>
              <w:ind w:right="281"/>
              <w:jc w:val="right"/>
              <w:rPr>
                <w:bCs/>
                <w:szCs w:val="22"/>
                <w:lang w:val="el-GR"/>
              </w:rPr>
            </w:pPr>
          </w:p>
        </w:tc>
        <w:tc>
          <w:tcPr>
            <w:tcW w:w="972" w:type="dxa"/>
            <w:tcBorders>
              <w:top w:val="nil"/>
              <w:left w:val="nil"/>
              <w:bottom w:val="nil"/>
              <w:right w:val="nil"/>
            </w:tcBorders>
          </w:tcPr>
          <w:p w:rsidR="004B417C" w:rsidRDefault="004B417C" w:rsidP="00631F7F">
            <w:pPr>
              <w:ind w:right="281"/>
              <w:jc w:val="right"/>
              <w:rPr>
                <w:bCs/>
                <w:szCs w:val="22"/>
                <w:lang w:val="el-GR"/>
              </w:rPr>
            </w:pPr>
          </w:p>
        </w:tc>
      </w:tr>
      <w:tr w:rsidR="004B417C">
        <w:tc>
          <w:tcPr>
            <w:tcW w:w="1485" w:type="dxa"/>
            <w:tcBorders>
              <w:top w:val="nil"/>
              <w:left w:val="nil"/>
              <w:bottom w:val="nil"/>
              <w:right w:val="nil"/>
            </w:tcBorders>
          </w:tcPr>
          <w:p w:rsidR="004B417C" w:rsidRDefault="004B417C" w:rsidP="00801310">
            <w:pPr>
              <w:ind w:right="281"/>
              <w:jc w:val="center"/>
              <w:rPr>
                <w:b/>
                <w:szCs w:val="22"/>
                <w:lang w:val="el-GR"/>
              </w:rPr>
            </w:pPr>
            <w:r>
              <w:rPr>
                <w:b/>
                <w:szCs w:val="22"/>
                <w:lang w:val="el-GR"/>
              </w:rPr>
              <w:t>Α</w:t>
            </w:r>
          </w:p>
        </w:tc>
        <w:tc>
          <w:tcPr>
            <w:tcW w:w="2043" w:type="dxa"/>
            <w:tcBorders>
              <w:top w:val="nil"/>
              <w:left w:val="nil"/>
              <w:bottom w:val="nil"/>
              <w:right w:val="nil"/>
            </w:tcBorders>
          </w:tcPr>
          <w:p w:rsidR="004B417C" w:rsidRDefault="004B417C" w:rsidP="00801310">
            <w:pPr>
              <w:ind w:right="281"/>
              <w:rPr>
                <w:szCs w:val="22"/>
                <w:lang w:val="el-GR"/>
              </w:rPr>
            </w:pPr>
            <w:r>
              <w:rPr>
                <w:szCs w:val="22"/>
                <w:lang w:val="el-GR"/>
              </w:rPr>
              <w:t>Αποδεκτός</w:t>
            </w:r>
          </w:p>
        </w:tc>
        <w:tc>
          <w:tcPr>
            <w:tcW w:w="2160" w:type="dxa"/>
            <w:tcBorders>
              <w:top w:val="nil"/>
              <w:left w:val="nil"/>
              <w:bottom w:val="nil"/>
              <w:right w:val="nil"/>
            </w:tcBorders>
          </w:tcPr>
          <w:p w:rsidR="004B417C" w:rsidRPr="0079424F" w:rsidRDefault="004B417C" w:rsidP="00801310">
            <w:pPr>
              <w:ind w:right="281"/>
              <w:jc w:val="right"/>
              <w:rPr>
                <w:bCs/>
                <w:szCs w:val="22"/>
              </w:rPr>
            </w:pPr>
            <w:r>
              <w:rPr>
                <w:bCs/>
                <w:szCs w:val="22"/>
              </w:rPr>
              <w:t>34.939</w:t>
            </w:r>
          </w:p>
        </w:tc>
        <w:tc>
          <w:tcPr>
            <w:tcW w:w="2520" w:type="dxa"/>
            <w:tcBorders>
              <w:top w:val="nil"/>
              <w:left w:val="nil"/>
              <w:bottom w:val="nil"/>
              <w:right w:val="nil"/>
            </w:tcBorders>
          </w:tcPr>
          <w:p w:rsidR="004B417C" w:rsidRDefault="004B417C" w:rsidP="00801310">
            <w:pPr>
              <w:ind w:right="281"/>
              <w:jc w:val="right"/>
              <w:rPr>
                <w:bCs/>
                <w:szCs w:val="22"/>
                <w:lang w:val="el-GR"/>
              </w:rPr>
            </w:pPr>
            <w:r>
              <w:rPr>
                <w:bCs/>
                <w:szCs w:val="22"/>
                <w:lang w:val="el-GR"/>
              </w:rPr>
              <w:t>(</w:t>
            </w:r>
            <w:r>
              <w:rPr>
                <w:bCs/>
                <w:szCs w:val="22"/>
              </w:rPr>
              <w:t>75</w:t>
            </w:r>
            <w:r>
              <w:rPr>
                <w:bCs/>
                <w:szCs w:val="22"/>
                <w:lang w:val="el-GR"/>
              </w:rPr>
              <w:t>)</w:t>
            </w:r>
          </w:p>
        </w:tc>
        <w:tc>
          <w:tcPr>
            <w:tcW w:w="972" w:type="dxa"/>
            <w:tcBorders>
              <w:top w:val="nil"/>
              <w:left w:val="nil"/>
              <w:bottom w:val="nil"/>
              <w:right w:val="nil"/>
            </w:tcBorders>
          </w:tcPr>
          <w:p w:rsidR="004B417C" w:rsidRDefault="004B417C" w:rsidP="00801310">
            <w:pPr>
              <w:ind w:right="281"/>
              <w:jc w:val="right"/>
              <w:rPr>
                <w:bCs/>
                <w:szCs w:val="22"/>
                <w:lang w:val="el-GR"/>
              </w:rPr>
            </w:pPr>
          </w:p>
        </w:tc>
      </w:tr>
      <w:tr w:rsidR="004B417C">
        <w:tc>
          <w:tcPr>
            <w:tcW w:w="1485" w:type="dxa"/>
            <w:tcBorders>
              <w:top w:val="nil"/>
              <w:left w:val="nil"/>
              <w:bottom w:val="nil"/>
              <w:right w:val="nil"/>
            </w:tcBorders>
          </w:tcPr>
          <w:p w:rsidR="004B417C" w:rsidRDefault="004B417C" w:rsidP="00801310">
            <w:pPr>
              <w:ind w:right="281"/>
              <w:jc w:val="center"/>
              <w:rPr>
                <w:b/>
                <w:szCs w:val="22"/>
                <w:lang w:val="el-GR"/>
              </w:rPr>
            </w:pPr>
            <w:r>
              <w:rPr>
                <w:b/>
                <w:szCs w:val="22"/>
                <w:lang w:val="el-GR"/>
              </w:rPr>
              <w:t>Β</w:t>
            </w:r>
          </w:p>
        </w:tc>
        <w:tc>
          <w:tcPr>
            <w:tcW w:w="2043" w:type="dxa"/>
            <w:tcBorders>
              <w:top w:val="nil"/>
              <w:left w:val="nil"/>
              <w:bottom w:val="nil"/>
              <w:right w:val="nil"/>
            </w:tcBorders>
          </w:tcPr>
          <w:p w:rsidR="004B417C" w:rsidRDefault="004B417C" w:rsidP="00801310">
            <w:pPr>
              <w:ind w:right="281"/>
              <w:rPr>
                <w:szCs w:val="22"/>
                <w:lang w:val="el-GR"/>
              </w:rPr>
            </w:pPr>
            <w:r>
              <w:rPr>
                <w:szCs w:val="22"/>
                <w:lang w:val="el-GR"/>
              </w:rPr>
              <w:t>Χαμηλός</w:t>
            </w:r>
          </w:p>
        </w:tc>
        <w:tc>
          <w:tcPr>
            <w:tcW w:w="2160" w:type="dxa"/>
            <w:tcBorders>
              <w:top w:val="nil"/>
              <w:left w:val="nil"/>
              <w:bottom w:val="nil"/>
              <w:right w:val="nil"/>
            </w:tcBorders>
          </w:tcPr>
          <w:p w:rsidR="004B417C" w:rsidRPr="0079424F" w:rsidRDefault="004B417C" w:rsidP="00801310">
            <w:pPr>
              <w:ind w:right="281"/>
              <w:jc w:val="right"/>
              <w:rPr>
                <w:bCs/>
                <w:szCs w:val="22"/>
              </w:rPr>
            </w:pPr>
            <w:r>
              <w:rPr>
                <w:bCs/>
                <w:szCs w:val="22"/>
              </w:rPr>
              <w:t>28.082</w:t>
            </w:r>
          </w:p>
        </w:tc>
        <w:tc>
          <w:tcPr>
            <w:tcW w:w="2520" w:type="dxa"/>
            <w:tcBorders>
              <w:top w:val="nil"/>
              <w:left w:val="nil"/>
              <w:bottom w:val="nil"/>
              <w:right w:val="nil"/>
            </w:tcBorders>
          </w:tcPr>
          <w:p w:rsidR="004B417C" w:rsidRDefault="004B417C" w:rsidP="00801310">
            <w:pPr>
              <w:ind w:right="281"/>
              <w:jc w:val="right"/>
              <w:rPr>
                <w:bCs/>
                <w:szCs w:val="22"/>
                <w:lang w:val="el-GR"/>
              </w:rPr>
            </w:pPr>
            <w:r>
              <w:rPr>
                <w:bCs/>
                <w:szCs w:val="22"/>
                <w:lang w:val="el-GR"/>
              </w:rPr>
              <w:t>(</w:t>
            </w:r>
            <w:r>
              <w:rPr>
                <w:bCs/>
                <w:szCs w:val="22"/>
              </w:rPr>
              <w:t>622</w:t>
            </w:r>
            <w:r>
              <w:rPr>
                <w:bCs/>
                <w:szCs w:val="22"/>
                <w:lang w:val="el-GR"/>
              </w:rPr>
              <w:t>)</w:t>
            </w:r>
          </w:p>
        </w:tc>
        <w:tc>
          <w:tcPr>
            <w:tcW w:w="972" w:type="dxa"/>
            <w:tcBorders>
              <w:top w:val="nil"/>
              <w:left w:val="nil"/>
              <w:bottom w:val="nil"/>
              <w:right w:val="nil"/>
            </w:tcBorders>
          </w:tcPr>
          <w:p w:rsidR="004B417C" w:rsidRDefault="004B417C" w:rsidP="00801310">
            <w:pPr>
              <w:ind w:right="281"/>
              <w:jc w:val="right"/>
              <w:rPr>
                <w:bCs/>
                <w:szCs w:val="22"/>
                <w:lang w:val="el-GR"/>
              </w:rPr>
            </w:pPr>
          </w:p>
        </w:tc>
      </w:tr>
      <w:tr w:rsidR="004B417C">
        <w:tc>
          <w:tcPr>
            <w:tcW w:w="1485" w:type="dxa"/>
            <w:tcBorders>
              <w:top w:val="nil"/>
              <w:left w:val="nil"/>
              <w:bottom w:val="nil"/>
              <w:right w:val="nil"/>
            </w:tcBorders>
          </w:tcPr>
          <w:p w:rsidR="004B417C" w:rsidRDefault="004B417C" w:rsidP="00801310">
            <w:pPr>
              <w:ind w:right="281"/>
              <w:jc w:val="center"/>
              <w:rPr>
                <w:b/>
                <w:szCs w:val="22"/>
                <w:lang w:val="el-GR"/>
              </w:rPr>
            </w:pPr>
            <w:r>
              <w:rPr>
                <w:b/>
                <w:szCs w:val="22"/>
                <w:lang w:val="el-GR"/>
              </w:rPr>
              <w:t>Γ</w:t>
            </w:r>
          </w:p>
        </w:tc>
        <w:tc>
          <w:tcPr>
            <w:tcW w:w="2043" w:type="dxa"/>
            <w:tcBorders>
              <w:top w:val="nil"/>
              <w:left w:val="nil"/>
              <w:bottom w:val="nil"/>
              <w:right w:val="nil"/>
            </w:tcBorders>
          </w:tcPr>
          <w:p w:rsidR="004B417C" w:rsidRDefault="004B417C" w:rsidP="00801310">
            <w:pPr>
              <w:ind w:right="281"/>
              <w:rPr>
                <w:szCs w:val="22"/>
                <w:lang w:val="el-GR"/>
              </w:rPr>
            </w:pPr>
            <w:r>
              <w:rPr>
                <w:szCs w:val="22"/>
                <w:lang w:val="el-GR"/>
              </w:rPr>
              <w:t>Μέσος</w:t>
            </w:r>
          </w:p>
        </w:tc>
        <w:tc>
          <w:tcPr>
            <w:tcW w:w="2160" w:type="dxa"/>
            <w:tcBorders>
              <w:top w:val="nil"/>
              <w:left w:val="nil"/>
              <w:bottom w:val="nil"/>
              <w:right w:val="nil"/>
            </w:tcBorders>
          </w:tcPr>
          <w:p w:rsidR="004B417C" w:rsidRPr="0079424F" w:rsidRDefault="004B417C" w:rsidP="00801310">
            <w:pPr>
              <w:ind w:right="281"/>
              <w:jc w:val="right"/>
              <w:rPr>
                <w:bCs/>
                <w:szCs w:val="22"/>
              </w:rPr>
            </w:pPr>
            <w:r>
              <w:rPr>
                <w:bCs/>
                <w:szCs w:val="22"/>
              </w:rPr>
              <w:t>25.984</w:t>
            </w:r>
          </w:p>
        </w:tc>
        <w:tc>
          <w:tcPr>
            <w:tcW w:w="2520" w:type="dxa"/>
            <w:tcBorders>
              <w:top w:val="nil"/>
              <w:left w:val="nil"/>
              <w:bottom w:val="nil"/>
              <w:right w:val="nil"/>
            </w:tcBorders>
          </w:tcPr>
          <w:p w:rsidR="004B417C" w:rsidRDefault="004B417C" w:rsidP="00801310">
            <w:pPr>
              <w:ind w:right="281"/>
              <w:jc w:val="right"/>
              <w:rPr>
                <w:bCs/>
                <w:szCs w:val="22"/>
                <w:lang w:val="el-GR"/>
              </w:rPr>
            </w:pPr>
            <w:r>
              <w:rPr>
                <w:bCs/>
                <w:szCs w:val="22"/>
                <w:lang w:val="el-GR"/>
              </w:rPr>
              <w:t>(</w:t>
            </w:r>
            <w:r>
              <w:rPr>
                <w:bCs/>
                <w:szCs w:val="22"/>
              </w:rPr>
              <w:t>699</w:t>
            </w:r>
            <w:r>
              <w:rPr>
                <w:bCs/>
                <w:szCs w:val="22"/>
                <w:lang w:val="el-GR"/>
              </w:rPr>
              <w:t>)</w:t>
            </w:r>
          </w:p>
        </w:tc>
        <w:tc>
          <w:tcPr>
            <w:tcW w:w="972" w:type="dxa"/>
            <w:tcBorders>
              <w:top w:val="nil"/>
              <w:left w:val="nil"/>
              <w:bottom w:val="nil"/>
              <w:right w:val="nil"/>
            </w:tcBorders>
          </w:tcPr>
          <w:p w:rsidR="004B417C" w:rsidRDefault="004B417C" w:rsidP="00801310">
            <w:pPr>
              <w:ind w:right="281"/>
              <w:jc w:val="right"/>
              <w:rPr>
                <w:bCs/>
                <w:szCs w:val="22"/>
                <w:lang w:val="el-GR"/>
              </w:rPr>
            </w:pPr>
          </w:p>
        </w:tc>
      </w:tr>
      <w:tr w:rsidR="004B417C">
        <w:tc>
          <w:tcPr>
            <w:tcW w:w="1485" w:type="dxa"/>
            <w:tcBorders>
              <w:top w:val="nil"/>
              <w:left w:val="nil"/>
              <w:bottom w:val="nil"/>
              <w:right w:val="nil"/>
            </w:tcBorders>
          </w:tcPr>
          <w:p w:rsidR="004B417C" w:rsidRDefault="004B417C" w:rsidP="00801310">
            <w:pPr>
              <w:ind w:right="281"/>
              <w:jc w:val="center"/>
              <w:rPr>
                <w:b/>
                <w:szCs w:val="22"/>
                <w:lang w:val="el-GR"/>
              </w:rPr>
            </w:pPr>
            <w:r>
              <w:rPr>
                <w:b/>
                <w:szCs w:val="22"/>
                <w:lang w:val="el-GR"/>
              </w:rPr>
              <w:t>Δ</w:t>
            </w:r>
          </w:p>
        </w:tc>
        <w:tc>
          <w:tcPr>
            <w:tcW w:w="2043" w:type="dxa"/>
            <w:tcBorders>
              <w:top w:val="nil"/>
              <w:left w:val="nil"/>
              <w:bottom w:val="nil"/>
              <w:right w:val="nil"/>
            </w:tcBorders>
          </w:tcPr>
          <w:p w:rsidR="004B417C" w:rsidRDefault="004B417C" w:rsidP="00801310">
            <w:pPr>
              <w:ind w:right="281"/>
              <w:rPr>
                <w:szCs w:val="22"/>
                <w:lang w:val="el-GR"/>
              </w:rPr>
            </w:pPr>
            <w:r>
              <w:rPr>
                <w:szCs w:val="22"/>
                <w:lang w:val="el-GR"/>
              </w:rPr>
              <w:t>Υψηλός</w:t>
            </w:r>
          </w:p>
        </w:tc>
        <w:tc>
          <w:tcPr>
            <w:tcW w:w="2160" w:type="dxa"/>
            <w:tcBorders>
              <w:top w:val="nil"/>
              <w:left w:val="nil"/>
              <w:bottom w:val="nil"/>
              <w:right w:val="nil"/>
            </w:tcBorders>
          </w:tcPr>
          <w:p w:rsidR="004B417C" w:rsidRPr="0079424F" w:rsidRDefault="004B417C" w:rsidP="00801310">
            <w:pPr>
              <w:ind w:right="281"/>
              <w:jc w:val="right"/>
              <w:rPr>
                <w:bCs/>
                <w:szCs w:val="22"/>
              </w:rPr>
            </w:pPr>
            <w:r>
              <w:rPr>
                <w:bCs/>
                <w:szCs w:val="22"/>
              </w:rPr>
              <w:t>14.332</w:t>
            </w:r>
          </w:p>
        </w:tc>
        <w:tc>
          <w:tcPr>
            <w:tcW w:w="2520" w:type="dxa"/>
            <w:tcBorders>
              <w:top w:val="nil"/>
              <w:left w:val="nil"/>
              <w:bottom w:val="nil"/>
              <w:right w:val="nil"/>
            </w:tcBorders>
          </w:tcPr>
          <w:p w:rsidR="004B417C" w:rsidRDefault="004B417C" w:rsidP="00801310">
            <w:pPr>
              <w:ind w:right="281"/>
              <w:jc w:val="right"/>
              <w:rPr>
                <w:bCs/>
                <w:szCs w:val="22"/>
                <w:lang w:val="el-GR"/>
              </w:rPr>
            </w:pPr>
            <w:r>
              <w:rPr>
                <w:bCs/>
                <w:szCs w:val="22"/>
                <w:lang w:val="el-GR"/>
              </w:rPr>
              <w:t>(</w:t>
            </w:r>
            <w:r>
              <w:rPr>
                <w:bCs/>
                <w:szCs w:val="22"/>
              </w:rPr>
              <w:t>594</w:t>
            </w:r>
            <w:r>
              <w:rPr>
                <w:bCs/>
                <w:szCs w:val="22"/>
                <w:lang w:val="el-GR"/>
              </w:rPr>
              <w:t>)</w:t>
            </w:r>
          </w:p>
        </w:tc>
        <w:tc>
          <w:tcPr>
            <w:tcW w:w="972" w:type="dxa"/>
            <w:tcBorders>
              <w:top w:val="nil"/>
              <w:left w:val="nil"/>
              <w:bottom w:val="nil"/>
              <w:right w:val="nil"/>
            </w:tcBorders>
          </w:tcPr>
          <w:p w:rsidR="004B417C" w:rsidRDefault="004B417C" w:rsidP="00801310">
            <w:pPr>
              <w:ind w:right="281"/>
              <w:jc w:val="right"/>
              <w:rPr>
                <w:bCs/>
                <w:szCs w:val="22"/>
                <w:lang w:val="el-GR"/>
              </w:rPr>
            </w:pPr>
          </w:p>
        </w:tc>
      </w:tr>
      <w:tr w:rsidR="004B417C">
        <w:tc>
          <w:tcPr>
            <w:tcW w:w="1485" w:type="dxa"/>
            <w:tcBorders>
              <w:top w:val="nil"/>
              <w:left w:val="nil"/>
              <w:bottom w:val="nil"/>
              <w:right w:val="nil"/>
            </w:tcBorders>
          </w:tcPr>
          <w:p w:rsidR="004B417C" w:rsidRDefault="004B417C" w:rsidP="00801310">
            <w:pPr>
              <w:ind w:right="281"/>
              <w:jc w:val="center"/>
              <w:rPr>
                <w:b/>
                <w:szCs w:val="22"/>
                <w:lang w:val="el-GR"/>
              </w:rPr>
            </w:pPr>
            <w:r>
              <w:rPr>
                <w:b/>
                <w:szCs w:val="22"/>
                <w:lang w:val="el-GR"/>
              </w:rPr>
              <w:t>Ε</w:t>
            </w:r>
          </w:p>
        </w:tc>
        <w:tc>
          <w:tcPr>
            <w:tcW w:w="2043" w:type="dxa"/>
            <w:tcBorders>
              <w:top w:val="nil"/>
              <w:left w:val="nil"/>
              <w:bottom w:val="nil"/>
              <w:right w:val="nil"/>
            </w:tcBorders>
          </w:tcPr>
          <w:p w:rsidR="004B417C" w:rsidRDefault="004B417C" w:rsidP="00801310">
            <w:pPr>
              <w:ind w:right="281"/>
              <w:rPr>
                <w:szCs w:val="22"/>
                <w:lang w:val="el-GR"/>
              </w:rPr>
            </w:pPr>
            <w:r>
              <w:rPr>
                <w:szCs w:val="22"/>
                <w:lang w:val="el-GR"/>
              </w:rPr>
              <w:t>Ζημιογόνος</w:t>
            </w:r>
          </w:p>
        </w:tc>
        <w:tc>
          <w:tcPr>
            <w:tcW w:w="2160" w:type="dxa"/>
            <w:tcBorders>
              <w:top w:val="nil"/>
              <w:left w:val="nil"/>
              <w:bottom w:val="nil"/>
              <w:right w:val="nil"/>
            </w:tcBorders>
          </w:tcPr>
          <w:p w:rsidR="004B417C" w:rsidRPr="0079424F" w:rsidRDefault="004B417C" w:rsidP="00801310">
            <w:pPr>
              <w:ind w:right="281"/>
              <w:jc w:val="right"/>
              <w:rPr>
                <w:bCs/>
                <w:szCs w:val="22"/>
              </w:rPr>
            </w:pPr>
            <w:r>
              <w:rPr>
                <w:bCs/>
                <w:szCs w:val="22"/>
              </w:rPr>
              <w:t>533</w:t>
            </w:r>
          </w:p>
        </w:tc>
        <w:tc>
          <w:tcPr>
            <w:tcW w:w="2520" w:type="dxa"/>
            <w:tcBorders>
              <w:top w:val="nil"/>
              <w:left w:val="nil"/>
              <w:bottom w:val="nil"/>
              <w:right w:val="nil"/>
            </w:tcBorders>
          </w:tcPr>
          <w:p w:rsidR="004B417C" w:rsidRDefault="004B417C" w:rsidP="00801310">
            <w:pPr>
              <w:ind w:right="281"/>
              <w:jc w:val="right"/>
              <w:rPr>
                <w:bCs/>
                <w:szCs w:val="22"/>
              </w:rPr>
            </w:pPr>
            <w:r>
              <w:rPr>
                <w:bCs/>
                <w:szCs w:val="22"/>
              </w:rPr>
              <w:t>(144</w:t>
            </w:r>
            <w:r>
              <w:rPr>
                <w:bCs/>
                <w:szCs w:val="22"/>
                <w:lang w:val="el-GR"/>
              </w:rPr>
              <w:t>)</w:t>
            </w:r>
          </w:p>
        </w:tc>
        <w:tc>
          <w:tcPr>
            <w:tcW w:w="972" w:type="dxa"/>
            <w:tcBorders>
              <w:top w:val="nil"/>
              <w:left w:val="nil"/>
              <w:bottom w:val="nil"/>
              <w:right w:val="nil"/>
            </w:tcBorders>
          </w:tcPr>
          <w:p w:rsidR="004B417C" w:rsidRDefault="004B417C" w:rsidP="00801310">
            <w:pPr>
              <w:ind w:right="281"/>
              <w:jc w:val="right"/>
              <w:rPr>
                <w:bCs/>
                <w:szCs w:val="22"/>
              </w:rPr>
            </w:pPr>
          </w:p>
        </w:tc>
      </w:tr>
      <w:tr w:rsidR="004B417C">
        <w:tc>
          <w:tcPr>
            <w:tcW w:w="1485" w:type="dxa"/>
            <w:tcBorders>
              <w:top w:val="nil"/>
              <w:left w:val="nil"/>
              <w:bottom w:val="nil"/>
              <w:right w:val="nil"/>
            </w:tcBorders>
          </w:tcPr>
          <w:p w:rsidR="004B417C" w:rsidRDefault="004B417C" w:rsidP="00801310">
            <w:pPr>
              <w:ind w:right="281"/>
              <w:jc w:val="center"/>
              <w:rPr>
                <w:b/>
                <w:szCs w:val="22"/>
                <w:lang w:val="el-GR"/>
              </w:rPr>
            </w:pPr>
            <w:r>
              <w:rPr>
                <w:b/>
                <w:szCs w:val="22"/>
                <w:lang w:val="el-GR"/>
              </w:rPr>
              <w:t>Ζ</w:t>
            </w:r>
          </w:p>
        </w:tc>
        <w:tc>
          <w:tcPr>
            <w:tcW w:w="2043" w:type="dxa"/>
            <w:tcBorders>
              <w:top w:val="nil"/>
              <w:left w:val="nil"/>
              <w:bottom w:val="nil"/>
              <w:right w:val="nil"/>
            </w:tcBorders>
          </w:tcPr>
          <w:p w:rsidR="004B417C" w:rsidRDefault="004B417C" w:rsidP="00801310">
            <w:pPr>
              <w:ind w:right="281"/>
              <w:rPr>
                <w:szCs w:val="22"/>
                <w:lang w:val="el-GR"/>
              </w:rPr>
            </w:pPr>
            <w:r>
              <w:rPr>
                <w:szCs w:val="22"/>
                <w:lang w:val="el-GR"/>
              </w:rPr>
              <w:t>Επισφάλεια</w:t>
            </w:r>
          </w:p>
        </w:tc>
        <w:tc>
          <w:tcPr>
            <w:tcW w:w="2160" w:type="dxa"/>
            <w:tcBorders>
              <w:top w:val="nil"/>
              <w:left w:val="nil"/>
              <w:right w:val="nil"/>
            </w:tcBorders>
          </w:tcPr>
          <w:p w:rsidR="004B417C" w:rsidRPr="001D5F2D" w:rsidRDefault="001D5F2D" w:rsidP="00801310">
            <w:pPr>
              <w:ind w:right="281"/>
              <w:jc w:val="right"/>
              <w:rPr>
                <w:bCs/>
                <w:szCs w:val="22"/>
                <w:lang w:val="el-GR"/>
              </w:rPr>
            </w:pPr>
            <w:r>
              <w:rPr>
                <w:bCs/>
                <w:szCs w:val="22"/>
              </w:rPr>
              <w:t>26</w:t>
            </w:r>
            <w:r>
              <w:rPr>
                <w:bCs/>
                <w:szCs w:val="22"/>
                <w:lang w:val="el-GR"/>
              </w:rPr>
              <w:t>3</w:t>
            </w:r>
            <w:r w:rsidR="004B417C">
              <w:rPr>
                <w:bCs/>
                <w:szCs w:val="22"/>
              </w:rPr>
              <w:t>.</w:t>
            </w:r>
            <w:r>
              <w:rPr>
                <w:bCs/>
                <w:szCs w:val="22"/>
                <w:lang w:val="el-GR"/>
              </w:rPr>
              <w:t>698</w:t>
            </w:r>
          </w:p>
        </w:tc>
        <w:tc>
          <w:tcPr>
            <w:tcW w:w="2520" w:type="dxa"/>
            <w:tcBorders>
              <w:top w:val="nil"/>
              <w:left w:val="nil"/>
              <w:right w:val="nil"/>
            </w:tcBorders>
          </w:tcPr>
          <w:p w:rsidR="004B417C" w:rsidRDefault="004B417C" w:rsidP="00801310">
            <w:pPr>
              <w:ind w:right="281"/>
              <w:jc w:val="right"/>
              <w:rPr>
                <w:bCs/>
                <w:szCs w:val="22"/>
              </w:rPr>
            </w:pPr>
            <w:r>
              <w:rPr>
                <w:bCs/>
                <w:szCs w:val="22"/>
              </w:rPr>
              <w:t>(157.038)</w:t>
            </w:r>
          </w:p>
        </w:tc>
        <w:tc>
          <w:tcPr>
            <w:tcW w:w="972" w:type="dxa"/>
            <w:tcBorders>
              <w:top w:val="nil"/>
              <w:left w:val="nil"/>
              <w:right w:val="nil"/>
            </w:tcBorders>
          </w:tcPr>
          <w:p w:rsidR="004B417C" w:rsidRDefault="004B417C" w:rsidP="00801310">
            <w:pPr>
              <w:ind w:right="281"/>
              <w:jc w:val="right"/>
              <w:rPr>
                <w:bCs/>
                <w:szCs w:val="22"/>
              </w:rPr>
            </w:pPr>
          </w:p>
        </w:tc>
      </w:tr>
      <w:tr w:rsidR="004B417C">
        <w:tc>
          <w:tcPr>
            <w:tcW w:w="1485" w:type="dxa"/>
            <w:tcBorders>
              <w:top w:val="nil"/>
              <w:left w:val="nil"/>
              <w:bottom w:val="nil"/>
              <w:right w:val="nil"/>
            </w:tcBorders>
          </w:tcPr>
          <w:p w:rsidR="004B417C" w:rsidRDefault="004B417C" w:rsidP="00801310">
            <w:pPr>
              <w:ind w:right="281"/>
              <w:jc w:val="center"/>
              <w:rPr>
                <w:b/>
                <w:szCs w:val="22"/>
                <w:lang w:val="el-GR"/>
              </w:rPr>
            </w:pPr>
          </w:p>
        </w:tc>
        <w:tc>
          <w:tcPr>
            <w:tcW w:w="2043" w:type="dxa"/>
            <w:tcBorders>
              <w:top w:val="nil"/>
              <w:left w:val="nil"/>
              <w:bottom w:val="nil"/>
              <w:right w:val="nil"/>
            </w:tcBorders>
          </w:tcPr>
          <w:p w:rsidR="004B417C" w:rsidRDefault="004B417C" w:rsidP="00801310">
            <w:pPr>
              <w:ind w:right="281"/>
              <w:rPr>
                <w:b/>
                <w:szCs w:val="22"/>
                <w:lang w:val="el-GR"/>
              </w:rPr>
            </w:pPr>
            <w:r>
              <w:rPr>
                <w:b/>
                <w:szCs w:val="22"/>
                <w:lang w:val="el-GR"/>
              </w:rPr>
              <w:t>Σύνολο</w:t>
            </w:r>
          </w:p>
        </w:tc>
        <w:tc>
          <w:tcPr>
            <w:tcW w:w="2160" w:type="dxa"/>
            <w:tcBorders>
              <w:left w:val="nil"/>
              <w:bottom w:val="double" w:sz="4" w:space="0" w:color="auto"/>
              <w:right w:val="nil"/>
            </w:tcBorders>
          </w:tcPr>
          <w:p w:rsidR="004B417C" w:rsidRPr="00393633" w:rsidRDefault="00393633" w:rsidP="00801310">
            <w:pPr>
              <w:ind w:right="281"/>
              <w:jc w:val="right"/>
              <w:rPr>
                <w:b/>
                <w:szCs w:val="22"/>
                <w:lang w:val="el-GR"/>
              </w:rPr>
            </w:pPr>
            <w:r>
              <w:rPr>
                <w:b/>
                <w:szCs w:val="22"/>
              </w:rPr>
              <w:t>36</w:t>
            </w:r>
            <w:r>
              <w:rPr>
                <w:b/>
                <w:szCs w:val="22"/>
                <w:lang w:val="el-GR"/>
              </w:rPr>
              <w:t>7</w:t>
            </w:r>
            <w:r w:rsidR="004B417C">
              <w:rPr>
                <w:b/>
                <w:szCs w:val="22"/>
              </w:rPr>
              <w:t>.</w:t>
            </w:r>
            <w:r>
              <w:rPr>
                <w:b/>
                <w:szCs w:val="22"/>
                <w:lang w:val="el-GR"/>
              </w:rPr>
              <w:t>568</w:t>
            </w:r>
          </w:p>
        </w:tc>
        <w:tc>
          <w:tcPr>
            <w:tcW w:w="2520" w:type="dxa"/>
            <w:tcBorders>
              <w:left w:val="nil"/>
              <w:bottom w:val="double" w:sz="4" w:space="0" w:color="auto"/>
              <w:right w:val="nil"/>
            </w:tcBorders>
          </w:tcPr>
          <w:p w:rsidR="004B417C" w:rsidRDefault="004B417C" w:rsidP="00801310">
            <w:pPr>
              <w:ind w:right="281"/>
              <w:jc w:val="right"/>
              <w:rPr>
                <w:b/>
                <w:szCs w:val="22"/>
              </w:rPr>
            </w:pPr>
            <w:r>
              <w:rPr>
                <w:b/>
                <w:szCs w:val="22"/>
              </w:rPr>
              <w:t>(159.172)</w:t>
            </w:r>
          </w:p>
        </w:tc>
        <w:tc>
          <w:tcPr>
            <w:tcW w:w="972" w:type="dxa"/>
            <w:tcBorders>
              <w:left w:val="nil"/>
              <w:bottom w:val="double" w:sz="4" w:space="0" w:color="auto"/>
              <w:right w:val="nil"/>
            </w:tcBorders>
          </w:tcPr>
          <w:p w:rsidR="004B417C" w:rsidRPr="0079424F" w:rsidRDefault="004B417C" w:rsidP="00801310">
            <w:pPr>
              <w:ind w:right="281"/>
              <w:jc w:val="right"/>
              <w:rPr>
                <w:b/>
                <w:szCs w:val="22"/>
              </w:rPr>
            </w:pPr>
            <w:r>
              <w:rPr>
                <w:b/>
                <w:szCs w:val="22"/>
              </w:rPr>
              <w:t>43%</w:t>
            </w:r>
          </w:p>
        </w:tc>
      </w:tr>
    </w:tbl>
    <w:p w:rsidR="004B417C" w:rsidRDefault="004B417C">
      <w:pPr>
        <w:ind w:right="281"/>
        <w:jc w:val="both"/>
      </w:pPr>
    </w:p>
    <w:tbl>
      <w:tblPr>
        <w:tblpPr w:leftFromText="180" w:rightFromText="180" w:vertAnchor="text" w:horzAnchor="margin" w:tblpY="63"/>
        <w:tblW w:w="8208" w:type="dxa"/>
        <w:tblLayout w:type="fixed"/>
        <w:tblLook w:val="0000"/>
      </w:tblPr>
      <w:tblGrid>
        <w:gridCol w:w="3528"/>
        <w:gridCol w:w="2160"/>
        <w:gridCol w:w="2520"/>
      </w:tblGrid>
      <w:tr w:rsidR="004B417C" w:rsidRPr="00AC5101">
        <w:tc>
          <w:tcPr>
            <w:tcW w:w="3528" w:type="dxa"/>
            <w:vAlign w:val="center"/>
          </w:tcPr>
          <w:p w:rsidR="004B417C" w:rsidRPr="00AC5101" w:rsidRDefault="004B417C" w:rsidP="00297F94">
            <w:pPr>
              <w:ind w:right="281"/>
              <w:rPr>
                <w:b/>
                <w:szCs w:val="22"/>
                <w:lang w:val="el-GR"/>
              </w:rPr>
            </w:pPr>
            <w:r w:rsidRPr="00AC5101">
              <w:rPr>
                <w:b/>
                <w:szCs w:val="22"/>
                <w:lang w:val="el-GR"/>
              </w:rPr>
              <w:t xml:space="preserve">Απομειωμένη αξία καλυμμάτων </w:t>
            </w:r>
          </w:p>
        </w:tc>
        <w:tc>
          <w:tcPr>
            <w:tcW w:w="2160" w:type="dxa"/>
            <w:vAlign w:val="center"/>
          </w:tcPr>
          <w:p w:rsidR="004B417C" w:rsidRPr="00AC5101" w:rsidRDefault="004B417C" w:rsidP="00297F94">
            <w:pPr>
              <w:ind w:right="281"/>
              <w:jc w:val="right"/>
              <w:rPr>
                <w:b/>
                <w:szCs w:val="22"/>
              </w:rPr>
            </w:pPr>
            <w:r w:rsidRPr="00AC5101">
              <w:rPr>
                <w:b/>
                <w:szCs w:val="22"/>
                <w:lang w:val="el-GR"/>
              </w:rPr>
              <w:t>201</w:t>
            </w:r>
            <w:r w:rsidRPr="00AC5101">
              <w:rPr>
                <w:b/>
                <w:szCs w:val="22"/>
              </w:rPr>
              <w:t>2</w:t>
            </w:r>
          </w:p>
        </w:tc>
        <w:tc>
          <w:tcPr>
            <w:tcW w:w="2520" w:type="dxa"/>
          </w:tcPr>
          <w:p w:rsidR="004B417C" w:rsidRPr="00AC5101" w:rsidRDefault="004B417C" w:rsidP="00297F94">
            <w:pPr>
              <w:ind w:right="281"/>
              <w:jc w:val="right"/>
              <w:rPr>
                <w:b/>
                <w:szCs w:val="22"/>
              </w:rPr>
            </w:pPr>
            <w:r w:rsidRPr="00AC5101">
              <w:rPr>
                <w:b/>
                <w:szCs w:val="22"/>
                <w:lang w:val="el-GR"/>
              </w:rPr>
              <w:t>20</w:t>
            </w:r>
            <w:r w:rsidRPr="00AC5101">
              <w:rPr>
                <w:b/>
                <w:szCs w:val="22"/>
              </w:rPr>
              <w:t>11</w:t>
            </w:r>
          </w:p>
        </w:tc>
      </w:tr>
      <w:tr w:rsidR="004B417C" w:rsidRPr="00AC5101">
        <w:tc>
          <w:tcPr>
            <w:tcW w:w="3528" w:type="dxa"/>
          </w:tcPr>
          <w:p w:rsidR="004B417C" w:rsidRPr="00AC5101" w:rsidRDefault="004B417C" w:rsidP="00297F94">
            <w:pPr>
              <w:ind w:right="281"/>
              <w:rPr>
                <w:b/>
                <w:szCs w:val="22"/>
                <w:lang w:val="el-GR"/>
              </w:rPr>
            </w:pPr>
          </w:p>
        </w:tc>
        <w:tc>
          <w:tcPr>
            <w:tcW w:w="2160" w:type="dxa"/>
          </w:tcPr>
          <w:p w:rsidR="004B417C" w:rsidRPr="00AC5101" w:rsidRDefault="004B417C" w:rsidP="00297F94">
            <w:pPr>
              <w:ind w:right="281"/>
              <w:jc w:val="right"/>
              <w:rPr>
                <w:bCs/>
                <w:szCs w:val="22"/>
              </w:rPr>
            </w:pPr>
          </w:p>
        </w:tc>
        <w:tc>
          <w:tcPr>
            <w:tcW w:w="2520" w:type="dxa"/>
          </w:tcPr>
          <w:p w:rsidR="004B417C" w:rsidRPr="00AC5101" w:rsidRDefault="004B417C" w:rsidP="00297F94">
            <w:pPr>
              <w:ind w:right="281"/>
              <w:jc w:val="right"/>
              <w:rPr>
                <w:bCs/>
                <w:szCs w:val="22"/>
                <w:lang w:val="el-GR"/>
              </w:rPr>
            </w:pPr>
          </w:p>
        </w:tc>
      </w:tr>
      <w:tr w:rsidR="004B417C" w:rsidRPr="00AC5101">
        <w:tc>
          <w:tcPr>
            <w:tcW w:w="3528" w:type="dxa"/>
          </w:tcPr>
          <w:p w:rsidR="004B417C" w:rsidRPr="00AC5101" w:rsidRDefault="004B417C" w:rsidP="007A3DD2">
            <w:pPr>
              <w:ind w:right="281"/>
              <w:rPr>
                <w:szCs w:val="22"/>
                <w:lang w:val="el-GR"/>
              </w:rPr>
            </w:pPr>
            <w:r w:rsidRPr="00AC5101">
              <w:rPr>
                <w:szCs w:val="22"/>
                <w:lang w:val="el-GR"/>
              </w:rPr>
              <w:t>Ακίνητα</w:t>
            </w:r>
          </w:p>
        </w:tc>
        <w:tc>
          <w:tcPr>
            <w:tcW w:w="2160" w:type="dxa"/>
          </w:tcPr>
          <w:p w:rsidR="004B417C" w:rsidRPr="00AC5101" w:rsidRDefault="004B417C" w:rsidP="007A3DD2">
            <w:pPr>
              <w:ind w:right="281"/>
              <w:jc w:val="right"/>
              <w:rPr>
                <w:bCs/>
                <w:szCs w:val="22"/>
              </w:rPr>
            </w:pPr>
            <w:r w:rsidRPr="00AC5101">
              <w:rPr>
                <w:bCs/>
                <w:szCs w:val="22"/>
              </w:rPr>
              <w:t>137.911</w:t>
            </w:r>
          </w:p>
        </w:tc>
        <w:tc>
          <w:tcPr>
            <w:tcW w:w="2520" w:type="dxa"/>
          </w:tcPr>
          <w:p w:rsidR="004B417C" w:rsidRPr="00AC5101" w:rsidRDefault="004B417C" w:rsidP="007A3DD2">
            <w:pPr>
              <w:ind w:right="281"/>
              <w:jc w:val="right"/>
              <w:rPr>
                <w:bCs/>
                <w:szCs w:val="22"/>
              </w:rPr>
            </w:pPr>
            <w:r w:rsidRPr="00AC5101">
              <w:rPr>
                <w:bCs/>
                <w:szCs w:val="22"/>
              </w:rPr>
              <w:t>205.600</w:t>
            </w:r>
          </w:p>
        </w:tc>
      </w:tr>
      <w:tr w:rsidR="004B417C" w:rsidRPr="00AC5101">
        <w:tc>
          <w:tcPr>
            <w:tcW w:w="3528" w:type="dxa"/>
          </w:tcPr>
          <w:p w:rsidR="004B417C" w:rsidRPr="00AC5101" w:rsidRDefault="004B417C" w:rsidP="007A3DD2">
            <w:pPr>
              <w:ind w:right="281"/>
              <w:rPr>
                <w:szCs w:val="22"/>
                <w:lang w:val="el-GR"/>
              </w:rPr>
            </w:pPr>
            <w:r w:rsidRPr="00AC5101">
              <w:rPr>
                <w:szCs w:val="22"/>
                <w:lang w:val="el-GR"/>
              </w:rPr>
              <w:t>Μηχανολογικός εξοπλισμός</w:t>
            </w:r>
          </w:p>
        </w:tc>
        <w:tc>
          <w:tcPr>
            <w:tcW w:w="2160" w:type="dxa"/>
          </w:tcPr>
          <w:p w:rsidR="004B417C" w:rsidRPr="00AC5101" w:rsidRDefault="004B417C" w:rsidP="007A3DD2">
            <w:pPr>
              <w:ind w:right="281"/>
              <w:jc w:val="right"/>
              <w:rPr>
                <w:bCs/>
                <w:szCs w:val="22"/>
              </w:rPr>
            </w:pPr>
            <w:r w:rsidRPr="00AC5101">
              <w:rPr>
                <w:bCs/>
                <w:szCs w:val="22"/>
              </w:rPr>
              <w:t>3.626</w:t>
            </w:r>
          </w:p>
        </w:tc>
        <w:tc>
          <w:tcPr>
            <w:tcW w:w="2520" w:type="dxa"/>
          </w:tcPr>
          <w:p w:rsidR="004B417C" w:rsidRPr="00AC5101" w:rsidRDefault="004B417C" w:rsidP="007A3DD2">
            <w:pPr>
              <w:ind w:right="281"/>
              <w:jc w:val="right"/>
              <w:rPr>
                <w:bCs/>
                <w:szCs w:val="22"/>
              </w:rPr>
            </w:pPr>
            <w:r w:rsidRPr="00AC5101">
              <w:rPr>
                <w:bCs/>
                <w:szCs w:val="22"/>
              </w:rPr>
              <w:t>9.400</w:t>
            </w:r>
          </w:p>
        </w:tc>
      </w:tr>
      <w:tr w:rsidR="004B417C" w:rsidRPr="00AC5101">
        <w:tc>
          <w:tcPr>
            <w:tcW w:w="3528" w:type="dxa"/>
          </w:tcPr>
          <w:p w:rsidR="004B417C" w:rsidRPr="00AC5101" w:rsidRDefault="004B417C" w:rsidP="007A3DD2">
            <w:pPr>
              <w:ind w:right="281"/>
              <w:rPr>
                <w:szCs w:val="22"/>
                <w:lang w:val="el-GR"/>
              </w:rPr>
            </w:pPr>
            <w:r w:rsidRPr="00AC5101">
              <w:rPr>
                <w:szCs w:val="22"/>
                <w:lang w:val="el-GR"/>
              </w:rPr>
              <w:t>Λοιπά</w:t>
            </w:r>
          </w:p>
        </w:tc>
        <w:tc>
          <w:tcPr>
            <w:tcW w:w="2160" w:type="dxa"/>
          </w:tcPr>
          <w:p w:rsidR="004B417C" w:rsidRPr="00AC5101" w:rsidRDefault="004B417C" w:rsidP="007A3DD2">
            <w:pPr>
              <w:ind w:right="281"/>
              <w:jc w:val="right"/>
              <w:rPr>
                <w:bCs/>
                <w:szCs w:val="22"/>
              </w:rPr>
            </w:pPr>
            <w:r w:rsidRPr="00AC5101">
              <w:rPr>
                <w:bCs/>
                <w:szCs w:val="22"/>
              </w:rPr>
              <w:t>553</w:t>
            </w:r>
          </w:p>
        </w:tc>
        <w:tc>
          <w:tcPr>
            <w:tcW w:w="2520" w:type="dxa"/>
          </w:tcPr>
          <w:p w:rsidR="004B417C" w:rsidRPr="00AC5101" w:rsidRDefault="004B417C" w:rsidP="007A3DD2">
            <w:pPr>
              <w:ind w:right="281"/>
              <w:jc w:val="right"/>
              <w:rPr>
                <w:bCs/>
                <w:szCs w:val="22"/>
              </w:rPr>
            </w:pPr>
            <w:r w:rsidRPr="00AC5101">
              <w:rPr>
                <w:bCs/>
                <w:szCs w:val="22"/>
              </w:rPr>
              <w:t>4.564</w:t>
            </w:r>
          </w:p>
        </w:tc>
      </w:tr>
      <w:tr w:rsidR="004B417C" w:rsidRPr="007A3DD2">
        <w:tc>
          <w:tcPr>
            <w:tcW w:w="3528" w:type="dxa"/>
          </w:tcPr>
          <w:p w:rsidR="004B417C" w:rsidRPr="00AC5101" w:rsidRDefault="004B417C" w:rsidP="007A3DD2">
            <w:pPr>
              <w:ind w:right="281"/>
              <w:rPr>
                <w:b/>
                <w:szCs w:val="22"/>
                <w:lang w:val="el-GR"/>
              </w:rPr>
            </w:pPr>
            <w:r w:rsidRPr="00AC5101">
              <w:rPr>
                <w:b/>
                <w:szCs w:val="22"/>
                <w:lang w:val="el-GR"/>
              </w:rPr>
              <w:t>Σύνολο</w:t>
            </w:r>
          </w:p>
        </w:tc>
        <w:tc>
          <w:tcPr>
            <w:tcW w:w="2160" w:type="dxa"/>
            <w:tcBorders>
              <w:top w:val="single" w:sz="4" w:space="0" w:color="auto"/>
              <w:bottom w:val="double" w:sz="4" w:space="0" w:color="auto"/>
            </w:tcBorders>
          </w:tcPr>
          <w:p w:rsidR="004B417C" w:rsidRPr="00AC5101" w:rsidRDefault="004B417C" w:rsidP="007A3DD2">
            <w:pPr>
              <w:ind w:right="281"/>
              <w:jc w:val="right"/>
              <w:rPr>
                <w:b/>
                <w:bCs/>
                <w:szCs w:val="22"/>
              </w:rPr>
            </w:pPr>
            <w:r w:rsidRPr="00AC5101">
              <w:rPr>
                <w:b/>
                <w:bCs/>
                <w:szCs w:val="22"/>
              </w:rPr>
              <w:t>142.090</w:t>
            </w:r>
          </w:p>
        </w:tc>
        <w:tc>
          <w:tcPr>
            <w:tcW w:w="2520" w:type="dxa"/>
            <w:tcBorders>
              <w:top w:val="single" w:sz="4" w:space="0" w:color="auto"/>
              <w:bottom w:val="double" w:sz="4" w:space="0" w:color="auto"/>
            </w:tcBorders>
          </w:tcPr>
          <w:p w:rsidR="004B417C" w:rsidRPr="00AE0D42" w:rsidRDefault="004B417C" w:rsidP="007A3DD2">
            <w:pPr>
              <w:ind w:right="281"/>
              <w:jc w:val="right"/>
              <w:rPr>
                <w:b/>
                <w:bCs/>
                <w:szCs w:val="22"/>
              </w:rPr>
            </w:pPr>
            <w:r w:rsidRPr="00AC5101">
              <w:rPr>
                <w:b/>
                <w:bCs/>
                <w:szCs w:val="22"/>
              </w:rPr>
              <w:t>219.564</w:t>
            </w:r>
          </w:p>
        </w:tc>
      </w:tr>
    </w:tbl>
    <w:p w:rsidR="004B417C" w:rsidRPr="007A3DD2" w:rsidRDefault="004B417C">
      <w:pPr>
        <w:ind w:right="281"/>
        <w:jc w:val="both"/>
      </w:pPr>
    </w:p>
    <w:p w:rsidR="004B417C" w:rsidRDefault="004B417C" w:rsidP="005027E5">
      <w:pPr>
        <w:pStyle w:val="Heading2"/>
        <w:ind w:left="539" w:hanging="539"/>
        <w:rPr>
          <w:lang w:val="el-GR"/>
        </w:rPr>
      </w:pPr>
      <w:bookmarkStart w:id="30" w:name="_Toc128477849"/>
      <w:r>
        <w:rPr>
          <w:lang w:val="el-GR"/>
        </w:rPr>
        <w:t>22.2</w:t>
      </w:r>
      <w:r>
        <w:rPr>
          <w:lang w:val="el-GR"/>
        </w:rPr>
        <w:tab/>
        <w:t>Συναλλαγματικός κίνδυνος</w:t>
      </w:r>
      <w:bookmarkEnd w:id="30"/>
    </w:p>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both"/>
        <w:rPr>
          <w:lang w:val="el-GR"/>
        </w:rPr>
      </w:pPr>
    </w:p>
    <w:p w:rsidR="004B417C" w:rsidRDefault="004B417C" w:rsidP="00913F0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both"/>
        <w:rPr>
          <w:lang w:val="el-GR"/>
        </w:rPr>
      </w:pPr>
      <w:r>
        <w:rPr>
          <w:lang w:val="el-GR"/>
        </w:rPr>
        <w:t>Όπως περιγράφεται στη Σημείωση 2.3, το λειτουργικό νόμισμα συναλλαγών της Εταιρείας και παρουσίασης των οικονομικών της καταστάσεων είναι το Ευρώ. Η Εταιρεία αναλαμβάνει την έκθεση στους κινδύνους από τις μεταβολές των συναλλαγματικών ισοτιμιών που επηρεάζουν τη χρηματοοικονομική της θέση και τις ταμειακές ροές. Στον πίνακα που ακολουθεί περιγράφεται η έκθεση της Εταιρείας στον κίνδυνο από συναλλαγματικές μεταβολές κατά την 31 Δεκεμβρίου 2012 και την</w:t>
      </w:r>
      <w:r>
        <w:rPr>
          <w:lang w:val="el-GR"/>
        </w:rPr>
        <w:br/>
        <w:t xml:space="preserve">31 Δεκεμβρίου 2011.  Ο πίνακας περιλαμβάνει τη συναλλαγματική θέση της Εταιρείας ανά νόμισμα. </w:t>
      </w:r>
    </w:p>
    <w:p w:rsidR="004B417C" w:rsidRPr="009F79F6" w:rsidRDefault="004B417C" w:rsidP="0067701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lang w:val="el-GR"/>
        </w:rPr>
      </w:pPr>
    </w:p>
    <w:tbl>
      <w:tblPr>
        <w:tblW w:w="7938" w:type="dxa"/>
        <w:tblInd w:w="108" w:type="dxa"/>
        <w:tblLook w:val="0000"/>
      </w:tblPr>
      <w:tblGrid>
        <w:gridCol w:w="3686"/>
        <w:gridCol w:w="1134"/>
        <w:gridCol w:w="850"/>
        <w:gridCol w:w="993"/>
        <w:gridCol w:w="1275"/>
      </w:tblGrid>
      <w:tr w:rsidR="004B417C" w:rsidRPr="00594184">
        <w:trPr>
          <w:trHeight w:val="284"/>
        </w:trPr>
        <w:tc>
          <w:tcPr>
            <w:tcW w:w="3686" w:type="dxa"/>
            <w:tcBorders>
              <w:left w:val="nil"/>
              <w:bottom w:val="nil"/>
              <w:right w:val="nil"/>
            </w:tcBorders>
            <w:noWrap/>
            <w:vAlign w:val="center"/>
          </w:tcPr>
          <w:p w:rsidR="004B417C" w:rsidRPr="00594184" w:rsidRDefault="004B417C">
            <w:pPr>
              <w:tabs>
                <w:tab w:val="clear" w:pos="454"/>
                <w:tab w:val="clear" w:pos="680"/>
                <w:tab w:val="clear" w:pos="907"/>
                <w:tab w:val="clear" w:pos="1644"/>
                <w:tab w:val="clear" w:pos="1871"/>
                <w:tab w:val="clear" w:pos="2580"/>
                <w:tab w:val="clear" w:pos="2807"/>
                <w:tab w:val="clear" w:pos="3515"/>
                <w:tab w:val="clear" w:pos="4451"/>
                <w:tab w:val="clear" w:pos="4678"/>
                <w:tab w:val="clear" w:pos="5387"/>
                <w:tab w:val="clear" w:pos="5613"/>
                <w:tab w:val="clear" w:pos="6322"/>
                <w:tab w:val="clear" w:pos="6549"/>
              </w:tabs>
              <w:rPr>
                <w:szCs w:val="22"/>
                <w:lang w:val="el-GR"/>
              </w:rPr>
            </w:pPr>
          </w:p>
        </w:tc>
        <w:tc>
          <w:tcPr>
            <w:tcW w:w="1134" w:type="dxa"/>
            <w:tcBorders>
              <w:top w:val="single" w:sz="4" w:space="0" w:color="auto"/>
              <w:left w:val="nil"/>
              <w:bottom w:val="single" w:sz="4" w:space="0" w:color="auto"/>
              <w:right w:val="nil"/>
            </w:tcBorders>
            <w:vAlign w:val="center"/>
          </w:tcPr>
          <w:p w:rsidR="004B417C" w:rsidRPr="00594184"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s>
              <w:jc w:val="center"/>
              <w:rPr>
                <w:b/>
                <w:szCs w:val="22"/>
              </w:rPr>
            </w:pPr>
            <w:r w:rsidRPr="00594184">
              <w:rPr>
                <w:b/>
                <w:szCs w:val="22"/>
              </w:rPr>
              <w:t>EURO</w:t>
            </w:r>
          </w:p>
        </w:tc>
        <w:tc>
          <w:tcPr>
            <w:tcW w:w="850" w:type="dxa"/>
            <w:tcBorders>
              <w:top w:val="single" w:sz="4" w:space="0" w:color="auto"/>
              <w:left w:val="nil"/>
              <w:bottom w:val="single" w:sz="4" w:space="0" w:color="auto"/>
              <w:right w:val="nil"/>
            </w:tcBorders>
            <w:vAlign w:val="center"/>
          </w:tcPr>
          <w:p w:rsidR="004B417C" w:rsidRPr="00594184"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s>
              <w:jc w:val="center"/>
              <w:rPr>
                <w:b/>
                <w:szCs w:val="22"/>
              </w:rPr>
            </w:pPr>
            <w:r w:rsidRPr="00594184">
              <w:rPr>
                <w:b/>
                <w:szCs w:val="22"/>
              </w:rPr>
              <w:t>USD</w:t>
            </w:r>
          </w:p>
        </w:tc>
        <w:tc>
          <w:tcPr>
            <w:tcW w:w="993" w:type="dxa"/>
            <w:tcBorders>
              <w:top w:val="single" w:sz="4" w:space="0" w:color="auto"/>
              <w:left w:val="nil"/>
              <w:bottom w:val="single" w:sz="4" w:space="0" w:color="auto"/>
              <w:right w:val="nil"/>
            </w:tcBorders>
            <w:vAlign w:val="center"/>
          </w:tcPr>
          <w:p w:rsidR="004B417C" w:rsidRPr="00594184"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s>
              <w:jc w:val="center"/>
              <w:rPr>
                <w:b/>
                <w:szCs w:val="22"/>
              </w:rPr>
            </w:pPr>
            <w:r w:rsidRPr="00594184">
              <w:rPr>
                <w:b/>
                <w:szCs w:val="22"/>
              </w:rPr>
              <w:t>CHF</w:t>
            </w:r>
          </w:p>
        </w:tc>
        <w:tc>
          <w:tcPr>
            <w:tcW w:w="1275" w:type="dxa"/>
            <w:tcBorders>
              <w:top w:val="single" w:sz="4" w:space="0" w:color="auto"/>
              <w:left w:val="nil"/>
              <w:bottom w:val="single" w:sz="4" w:space="0" w:color="auto"/>
              <w:right w:val="nil"/>
            </w:tcBorders>
            <w:vAlign w:val="center"/>
          </w:tcPr>
          <w:p w:rsidR="004B417C" w:rsidRPr="00594184"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s>
              <w:jc w:val="center"/>
              <w:rPr>
                <w:b/>
                <w:szCs w:val="22"/>
                <w:lang w:val="el-GR"/>
              </w:rPr>
            </w:pPr>
            <w:r w:rsidRPr="00594184">
              <w:rPr>
                <w:b/>
                <w:szCs w:val="22"/>
                <w:lang w:val="el-GR"/>
              </w:rPr>
              <w:t>ΣΥΝΟΛΟ</w:t>
            </w:r>
          </w:p>
        </w:tc>
      </w:tr>
      <w:tr w:rsidR="004B417C" w:rsidRPr="00594184">
        <w:trPr>
          <w:trHeight w:val="284"/>
        </w:trPr>
        <w:tc>
          <w:tcPr>
            <w:tcW w:w="3686" w:type="dxa"/>
            <w:tcBorders>
              <w:top w:val="nil"/>
              <w:left w:val="nil"/>
              <w:bottom w:val="nil"/>
              <w:right w:val="nil"/>
            </w:tcBorders>
            <w:noWrap/>
            <w:vAlign w:val="center"/>
          </w:tcPr>
          <w:p w:rsidR="004B417C" w:rsidRPr="00594184"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b/>
                <w:szCs w:val="22"/>
                <w:lang w:val="el-GR"/>
              </w:rPr>
            </w:pPr>
            <w:r w:rsidRPr="00594184">
              <w:rPr>
                <w:b/>
                <w:szCs w:val="22"/>
                <w:lang w:val="el-GR"/>
              </w:rPr>
              <w:t>ΕΝΕΡΓΗΤΙΚΟ</w:t>
            </w:r>
          </w:p>
        </w:tc>
        <w:tc>
          <w:tcPr>
            <w:tcW w:w="1134" w:type="dxa"/>
            <w:tcBorders>
              <w:left w:val="nil"/>
              <w:bottom w:val="nil"/>
              <w:right w:val="nil"/>
            </w:tcBorders>
            <w:vAlign w:val="center"/>
          </w:tcPr>
          <w:p w:rsidR="004B417C" w:rsidRPr="00594184"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s>
              <w:jc w:val="right"/>
              <w:rPr>
                <w:szCs w:val="22"/>
                <w:lang w:val="el-GR"/>
              </w:rPr>
            </w:pPr>
          </w:p>
        </w:tc>
        <w:tc>
          <w:tcPr>
            <w:tcW w:w="850" w:type="dxa"/>
            <w:tcBorders>
              <w:left w:val="nil"/>
              <w:bottom w:val="nil"/>
              <w:right w:val="nil"/>
            </w:tcBorders>
            <w:vAlign w:val="center"/>
          </w:tcPr>
          <w:p w:rsidR="004B417C" w:rsidRPr="00594184"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s>
              <w:jc w:val="right"/>
              <w:rPr>
                <w:szCs w:val="22"/>
                <w:lang w:val="el-GR"/>
              </w:rPr>
            </w:pPr>
          </w:p>
        </w:tc>
        <w:tc>
          <w:tcPr>
            <w:tcW w:w="993" w:type="dxa"/>
            <w:tcBorders>
              <w:left w:val="nil"/>
              <w:bottom w:val="nil"/>
              <w:right w:val="nil"/>
            </w:tcBorders>
            <w:vAlign w:val="center"/>
          </w:tcPr>
          <w:p w:rsidR="004B417C" w:rsidRPr="00594184"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s>
              <w:jc w:val="right"/>
              <w:rPr>
                <w:szCs w:val="22"/>
                <w:lang w:val="el-GR"/>
              </w:rPr>
            </w:pPr>
          </w:p>
        </w:tc>
        <w:tc>
          <w:tcPr>
            <w:tcW w:w="1275" w:type="dxa"/>
            <w:tcBorders>
              <w:left w:val="nil"/>
              <w:bottom w:val="nil"/>
              <w:right w:val="nil"/>
            </w:tcBorders>
            <w:vAlign w:val="center"/>
          </w:tcPr>
          <w:p w:rsidR="004B417C" w:rsidRPr="00594184"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s>
              <w:jc w:val="right"/>
              <w:rPr>
                <w:szCs w:val="22"/>
                <w:lang w:val="el-GR"/>
              </w:rPr>
            </w:pPr>
          </w:p>
        </w:tc>
      </w:tr>
      <w:tr w:rsidR="004B417C" w:rsidRPr="00594184">
        <w:trPr>
          <w:trHeight w:val="284"/>
        </w:trPr>
        <w:tc>
          <w:tcPr>
            <w:tcW w:w="3686" w:type="dxa"/>
            <w:tcBorders>
              <w:top w:val="nil"/>
              <w:left w:val="nil"/>
              <w:bottom w:val="nil"/>
              <w:right w:val="nil"/>
            </w:tcBorders>
            <w:noWrap/>
            <w:vAlign w:val="center"/>
          </w:tcPr>
          <w:p w:rsidR="004B417C" w:rsidRPr="00594184"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szCs w:val="22"/>
                <w:lang w:val="el-GR"/>
              </w:rPr>
            </w:pPr>
            <w:r w:rsidRPr="00594184">
              <w:rPr>
                <w:szCs w:val="22"/>
                <w:lang w:val="el-GR"/>
              </w:rPr>
              <w:t>Χρηματικά Διαθέσιμα</w:t>
            </w:r>
          </w:p>
        </w:tc>
        <w:tc>
          <w:tcPr>
            <w:tcW w:w="1134" w:type="dxa"/>
            <w:tcBorders>
              <w:top w:val="nil"/>
              <w:left w:val="nil"/>
              <w:right w:val="nil"/>
            </w:tcBorders>
            <w:vAlign w:val="center"/>
          </w:tcPr>
          <w:p w:rsidR="004B417C" w:rsidRPr="00BE5873"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r>
              <w:rPr>
                <w:szCs w:val="22"/>
                <w:lang w:val="el-GR"/>
              </w:rPr>
              <w:t>22.472</w:t>
            </w:r>
          </w:p>
        </w:tc>
        <w:tc>
          <w:tcPr>
            <w:tcW w:w="850" w:type="dxa"/>
            <w:tcBorders>
              <w:top w:val="nil"/>
              <w:left w:val="nil"/>
              <w:right w:val="nil"/>
            </w:tcBorders>
            <w:vAlign w:val="center"/>
          </w:tcPr>
          <w:p w:rsidR="004B417C" w:rsidRPr="00594184"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r w:rsidRPr="00594184">
              <w:rPr>
                <w:szCs w:val="22"/>
                <w:lang w:val="el-GR"/>
              </w:rPr>
              <w:t>-</w:t>
            </w:r>
          </w:p>
        </w:tc>
        <w:tc>
          <w:tcPr>
            <w:tcW w:w="993" w:type="dxa"/>
            <w:tcBorders>
              <w:top w:val="nil"/>
              <w:left w:val="nil"/>
              <w:right w:val="nil"/>
            </w:tcBorders>
            <w:vAlign w:val="center"/>
          </w:tcPr>
          <w:p w:rsidR="004B417C" w:rsidRPr="00594184"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r w:rsidRPr="00594184">
              <w:rPr>
                <w:szCs w:val="22"/>
                <w:lang w:val="el-GR"/>
              </w:rPr>
              <w:t>-</w:t>
            </w:r>
          </w:p>
        </w:tc>
        <w:tc>
          <w:tcPr>
            <w:tcW w:w="1275" w:type="dxa"/>
            <w:tcBorders>
              <w:top w:val="nil"/>
              <w:left w:val="nil"/>
              <w:right w:val="nil"/>
            </w:tcBorders>
            <w:vAlign w:val="center"/>
          </w:tcPr>
          <w:p w:rsidR="004B417C" w:rsidRPr="00BE5873"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r>
              <w:rPr>
                <w:szCs w:val="22"/>
                <w:lang w:val="el-GR"/>
              </w:rPr>
              <w:t>22.472</w:t>
            </w:r>
          </w:p>
        </w:tc>
      </w:tr>
      <w:tr w:rsidR="004B417C" w:rsidRPr="00594184">
        <w:trPr>
          <w:trHeight w:val="284"/>
        </w:trPr>
        <w:tc>
          <w:tcPr>
            <w:tcW w:w="3686" w:type="dxa"/>
            <w:tcBorders>
              <w:left w:val="nil"/>
              <w:bottom w:val="nil"/>
              <w:right w:val="nil"/>
            </w:tcBorders>
            <w:noWrap/>
            <w:vAlign w:val="center"/>
          </w:tcPr>
          <w:p w:rsidR="004B417C" w:rsidRPr="00594184"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szCs w:val="22"/>
                <w:lang w:val="el-GR"/>
              </w:rPr>
            </w:pPr>
            <w:r w:rsidRPr="00594184">
              <w:rPr>
                <w:szCs w:val="22"/>
                <w:lang w:val="el-GR"/>
              </w:rPr>
              <w:t>Απαιτήσεις από χρηματοδοτικές μισθώσεις</w:t>
            </w:r>
          </w:p>
        </w:tc>
        <w:tc>
          <w:tcPr>
            <w:tcW w:w="1134" w:type="dxa"/>
            <w:tcBorders>
              <w:left w:val="nil"/>
              <w:right w:val="nil"/>
            </w:tcBorders>
            <w:vAlign w:val="center"/>
          </w:tcPr>
          <w:p w:rsidR="004B417C" w:rsidRPr="008858B3"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r>
              <w:rPr>
                <w:szCs w:val="22"/>
                <w:lang w:val="el-GR"/>
              </w:rPr>
              <w:t>144.9</w:t>
            </w:r>
            <w:r w:rsidR="007C161D">
              <w:rPr>
                <w:szCs w:val="22"/>
                <w:lang w:val="el-GR"/>
              </w:rPr>
              <w:t>64</w:t>
            </w:r>
          </w:p>
        </w:tc>
        <w:tc>
          <w:tcPr>
            <w:tcW w:w="850" w:type="dxa"/>
            <w:tcBorders>
              <w:left w:val="nil"/>
              <w:right w:val="nil"/>
            </w:tcBorders>
            <w:vAlign w:val="center"/>
          </w:tcPr>
          <w:p w:rsidR="004B417C" w:rsidRPr="00594184"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r w:rsidRPr="00594184">
              <w:rPr>
                <w:szCs w:val="22"/>
                <w:lang w:val="el-GR"/>
              </w:rPr>
              <w:t>-</w:t>
            </w:r>
          </w:p>
        </w:tc>
        <w:tc>
          <w:tcPr>
            <w:tcW w:w="993" w:type="dxa"/>
            <w:tcBorders>
              <w:left w:val="nil"/>
              <w:right w:val="nil"/>
            </w:tcBorders>
            <w:vAlign w:val="center"/>
          </w:tcPr>
          <w:p w:rsidR="004B417C" w:rsidRPr="00BE5873"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r>
              <w:rPr>
                <w:szCs w:val="22"/>
                <w:lang w:val="el-GR"/>
              </w:rPr>
              <w:t>31.983</w:t>
            </w:r>
          </w:p>
        </w:tc>
        <w:tc>
          <w:tcPr>
            <w:tcW w:w="1275" w:type="dxa"/>
            <w:tcBorders>
              <w:left w:val="nil"/>
              <w:right w:val="nil"/>
            </w:tcBorders>
            <w:vAlign w:val="center"/>
          </w:tcPr>
          <w:p w:rsidR="004B417C" w:rsidRPr="008858B3"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r>
              <w:rPr>
                <w:szCs w:val="22"/>
                <w:lang w:val="el-GR"/>
              </w:rPr>
              <w:t>176.9</w:t>
            </w:r>
            <w:r w:rsidR="007C161D">
              <w:rPr>
                <w:szCs w:val="22"/>
                <w:lang w:val="el-GR"/>
              </w:rPr>
              <w:t>47</w:t>
            </w:r>
          </w:p>
        </w:tc>
      </w:tr>
      <w:tr w:rsidR="004B417C" w:rsidRPr="00594184">
        <w:trPr>
          <w:trHeight w:val="284"/>
        </w:trPr>
        <w:tc>
          <w:tcPr>
            <w:tcW w:w="3686" w:type="dxa"/>
            <w:tcBorders>
              <w:left w:val="nil"/>
              <w:right w:val="nil"/>
            </w:tcBorders>
            <w:noWrap/>
            <w:vAlign w:val="center"/>
          </w:tcPr>
          <w:p w:rsidR="004B417C" w:rsidRPr="00594184"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szCs w:val="22"/>
                <w:lang w:val="el-GR"/>
              </w:rPr>
            </w:pPr>
            <w:r w:rsidRPr="00594184">
              <w:rPr>
                <w:szCs w:val="22"/>
                <w:lang w:val="el-GR"/>
              </w:rPr>
              <w:t xml:space="preserve">Χρεόγραφα διαθέσιμα προς πώληση </w:t>
            </w:r>
          </w:p>
        </w:tc>
        <w:tc>
          <w:tcPr>
            <w:tcW w:w="1134" w:type="dxa"/>
            <w:vMerge w:val="restart"/>
            <w:tcBorders>
              <w:left w:val="nil"/>
              <w:right w:val="nil"/>
            </w:tcBorders>
            <w:vAlign w:val="center"/>
          </w:tcPr>
          <w:p w:rsidR="004B417C" w:rsidRPr="00BE5873"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r>
              <w:rPr>
                <w:szCs w:val="22"/>
                <w:lang w:val="el-GR"/>
              </w:rPr>
              <w:t>392</w:t>
            </w:r>
          </w:p>
        </w:tc>
        <w:tc>
          <w:tcPr>
            <w:tcW w:w="850" w:type="dxa"/>
            <w:vMerge w:val="restart"/>
            <w:tcBorders>
              <w:left w:val="nil"/>
              <w:right w:val="nil"/>
            </w:tcBorders>
            <w:vAlign w:val="center"/>
          </w:tcPr>
          <w:p w:rsidR="004B417C" w:rsidRPr="00BD3086"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r>
              <w:rPr>
                <w:szCs w:val="22"/>
                <w:lang w:val="el-GR"/>
              </w:rPr>
              <w:t>-</w:t>
            </w:r>
          </w:p>
        </w:tc>
        <w:tc>
          <w:tcPr>
            <w:tcW w:w="993" w:type="dxa"/>
            <w:vMerge w:val="restart"/>
            <w:tcBorders>
              <w:left w:val="nil"/>
              <w:right w:val="nil"/>
            </w:tcBorders>
            <w:vAlign w:val="center"/>
          </w:tcPr>
          <w:p w:rsidR="004B417C" w:rsidRPr="00594184"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r w:rsidRPr="00594184">
              <w:rPr>
                <w:szCs w:val="22"/>
                <w:lang w:val="el-GR"/>
              </w:rPr>
              <w:t>-</w:t>
            </w:r>
          </w:p>
        </w:tc>
        <w:tc>
          <w:tcPr>
            <w:tcW w:w="1275" w:type="dxa"/>
            <w:vMerge w:val="restart"/>
            <w:tcBorders>
              <w:left w:val="nil"/>
              <w:right w:val="nil"/>
            </w:tcBorders>
            <w:vAlign w:val="center"/>
          </w:tcPr>
          <w:p w:rsidR="004B417C" w:rsidRPr="00BE5873"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r>
              <w:rPr>
                <w:szCs w:val="22"/>
                <w:lang w:val="el-GR"/>
              </w:rPr>
              <w:t>392</w:t>
            </w:r>
          </w:p>
        </w:tc>
      </w:tr>
      <w:tr w:rsidR="004B417C" w:rsidRPr="00594184">
        <w:trPr>
          <w:trHeight w:hRule="exact" w:val="113"/>
        </w:trPr>
        <w:tc>
          <w:tcPr>
            <w:tcW w:w="3686" w:type="dxa"/>
            <w:tcBorders>
              <w:left w:val="nil"/>
              <w:bottom w:val="nil"/>
              <w:right w:val="nil"/>
            </w:tcBorders>
            <w:noWrap/>
            <w:vAlign w:val="center"/>
          </w:tcPr>
          <w:p w:rsidR="004B417C" w:rsidRPr="00594184"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b/>
                <w:szCs w:val="22"/>
                <w:lang w:val="el-GR"/>
              </w:rPr>
            </w:pPr>
          </w:p>
        </w:tc>
        <w:tc>
          <w:tcPr>
            <w:tcW w:w="1134" w:type="dxa"/>
            <w:vMerge/>
            <w:tcBorders>
              <w:left w:val="nil"/>
              <w:bottom w:val="single" w:sz="4" w:space="0" w:color="auto"/>
              <w:right w:val="nil"/>
            </w:tcBorders>
            <w:vAlign w:val="center"/>
          </w:tcPr>
          <w:p w:rsidR="004B417C" w:rsidRPr="00594184"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c>
          <w:tcPr>
            <w:tcW w:w="850" w:type="dxa"/>
            <w:vMerge/>
            <w:tcBorders>
              <w:left w:val="nil"/>
              <w:bottom w:val="single" w:sz="4" w:space="0" w:color="auto"/>
              <w:right w:val="nil"/>
            </w:tcBorders>
            <w:vAlign w:val="center"/>
          </w:tcPr>
          <w:p w:rsidR="004B417C" w:rsidRPr="00594184"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c>
          <w:tcPr>
            <w:tcW w:w="993" w:type="dxa"/>
            <w:vMerge/>
            <w:tcBorders>
              <w:left w:val="nil"/>
              <w:bottom w:val="single" w:sz="4" w:space="0" w:color="auto"/>
              <w:right w:val="nil"/>
            </w:tcBorders>
            <w:vAlign w:val="center"/>
          </w:tcPr>
          <w:p w:rsidR="004B417C" w:rsidRPr="00594184"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c>
          <w:tcPr>
            <w:tcW w:w="1275" w:type="dxa"/>
            <w:vMerge/>
            <w:tcBorders>
              <w:left w:val="nil"/>
              <w:bottom w:val="single" w:sz="4" w:space="0" w:color="auto"/>
              <w:right w:val="nil"/>
            </w:tcBorders>
            <w:vAlign w:val="center"/>
          </w:tcPr>
          <w:p w:rsidR="004B417C" w:rsidRPr="00594184"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r>
      <w:tr w:rsidR="004B417C" w:rsidRPr="00594184">
        <w:trPr>
          <w:trHeight w:hRule="exact" w:val="402"/>
        </w:trPr>
        <w:tc>
          <w:tcPr>
            <w:tcW w:w="3686" w:type="dxa"/>
            <w:tcBorders>
              <w:left w:val="nil"/>
              <w:bottom w:val="nil"/>
              <w:right w:val="nil"/>
            </w:tcBorders>
            <w:noWrap/>
            <w:vAlign w:val="center"/>
          </w:tcPr>
          <w:p w:rsidR="004B417C" w:rsidRPr="001A035A"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b/>
                <w:szCs w:val="22"/>
                <w:lang w:val="el-GR"/>
              </w:rPr>
            </w:pPr>
            <w:r w:rsidRPr="00594184">
              <w:rPr>
                <w:b/>
                <w:szCs w:val="22"/>
                <w:lang w:val="el-GR"/>
              </w:rPr>
              <w:t>Σύνολα 31.12.201</w:t>
            </w:r>
            <w:r>
              <w:rPr>
                <w:b/>
                <w:szCs w:val="22"/>
                <w:lang w:val="el-GR"/>
              </w:rPr>
              <w:t>2</w:t>
            </w:r>
          </w:p>
        </w:tc>
        <w:tc>
          <w:tcPr>
            <w:tcW w:w="1134" w:type="dxa"/>
            <w:tcBorders>
              <w:top w:val="single" w:sz="4" w:space="0" w:color="auto"/>
              <w:left w:val="nil"/>
              <w:bottom w:val="double" w:sz="4" w:space="0" w:color="auto"/>
              <w:right w:val="nil"/>
            </w:tcBorders>
            <w:vAlign w:val="center"/>
          </w:tcPr>
          <w:p w:rsidR="004B417C" w:rsidRPr="008858B3"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Cs w:val="22"/>
                <w:lang w:val="el-GR"/>
              </w:rPr>
            </w:pPr>
            <w:r>
              <w:rPr>
                <w:b/>
                <w:szCs w:val="22"/>
                <w:lang w:val="el-GR"/>
              </w:rPr>
              <w:t>167.8</w:t>
            </w:r>
            <w:r w:rsidR="00B06250">
              <w:rPr>
                <w:b/>
                <w:szCs w:val="22"/>
                <w:lang w:val="el-GR"/>
              </w:rPr>
              <w:t>28</w:t>
            </w:r>
          </w:p>
        </w:tc>
        <w:tc>
          <w:tcPr>
            <w:tcW w:w="850" w:type="dxa"/>
            <w:tcBorders>
              <w:top w:val="single" w:sz="4" w:space="0" w:color="auto"/>
              <w:left w:val="nil"/>
              <w:bottom w:val="double" w:sz="4" w:space="0" w:color="auto"/>
              <w:right w:val="nil"/>
            </w:tcBorders>
            <w:vAlign w:val="center"/>
          </w:tcPr>
          <w:p w:rsidR="004B417C" w:rsidRPr="00BD3086"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Cs w:val="22"/>
                <w:lang w:val="el-GR"/>
              </w:rPr>
            </w:pPr>
            <w:r>
              <w:rPr>
                <w:b/>
                <w:szCs w:val="22"/>
                <w:lang w:val="el-GR"/>
              </w:rPr>
              <w:t>-</w:t>
            </w:r>
          </w:p>
        </w:tc>
        <w:tc>
          <w:tcPr>
            <w:tcW w:w="993" w:type="dxa"/>
            <w:tcBorders>
              <w:top w:val="single" w:sz="4" w:space="0" w:color="auto"/>
              <w:left w:val="nil"/>
              <w:bottom w:val="double" w:sz="4" w:space="0" w:color="auto"/>
              <w:right w:val="nil"/>
            </w:tcBorders>
            <w:vAlign w:val="center"/>
          </w:tcPr>
          <w:p w:rsidR="004B417C" w:rsidRPr="0076262D"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Cs w:val="22"/>
                <w:lang w:val="el-GR"/>
              </w:rPr>
            </w:pPr>
            <w:r>
              <w:rPr>
                <w:b/>
                <w:szCs w:val="22"/>
                <w:lang w:val="el-GR"/>
              </w:rPr>
              <w:t>31.983</w:t>
            </w:r>
          </w:p>
        </w:tc>
        <w:tc>
          <w:tcPr>
            <w:tcW w:w="1275" w:type="dxa"/>
            <w:tcBorders>
              <w:top w:val="single" w:sz="4" w:space="0" w:color="auto"/>
              <w:left w:val="nil"/>
              <w:bottom w:val="double" w:sz="4" w:space="0" w:color="auto"/>
              <w:right w:val="nil"/>
            </w:tcBorders>
            <w:vAlign w:val="center"/>
          </w:tcPr>
          <w:p w:rsidR="004B417C" w:rsidRPr="008858B3"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Cs w:val="22"/>
                <w:lang w:val="el-GR"/>
              </w:rPr>
            </w:pPr>
            <w:r>
              <w:rPr>
                <w:b/>
                <w:szCs w:val="22"/>
                <w:lang w:val="el-GR"/>
              </w:rPr>
              <w:t>199.8</w:t>
            </w:r>
            <w:r w:rsidR="00B06250">
              <w:rPr>
                <w:b/>
                <w:szCs w:val="22"/>
                <w:lang w:val="el-GR"/>
              </w:rPr>
              <w:t>11</w:t>
            </w:r>
          </w:p>
        </w:tc>
      </w:tr>
      <w:tr w:rsidR="004B417C" w:rsidRPr="00594184">
        <w:trPr>
          <w:trHeight w:hRule="exact" w:val="113"/>
        </w:trPr>
        <w:tc>
          <w:tcPr>
            <w:tcW w:w="3686" w:type="dxa"/>
            <w:tcBorders>
              <w:top w:val="nil"/>
              <w:left w:val="nil"/>
              <w:right w:val="nil"/>
            </w:tcBorders>
            <w:noWrap/>
            <w:vAlign w:val="center"/>
          </w:tcPr>
          <w:p w:rsidR="004B417C" w:rsidRPr="00594184"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b/>
                <w:szCs w:val="22"/>
                <w:lang w:val="el-GR"/>
              </w:rPr>
            </w:pPr>
          </w:p>
        </w:tc>
        <w:tc>
          <w:tcPr>
            <w:tcW w:w="1134" w:type="dxa"/>
            <w:tcBorders>
              <w:top w:val="double" w:sz="4" w:space="0" w:color="auto"/>
              <w:left w:val="nil"/>
              <w:bottom w:val="double" w:sz="4" w:space="0" w:color="auto"/>
              <w:right w:val="nil"/>
            </w:tcBorders>
            <w:vAlign w:val="center"/>
          </w:tcPr>
          <w:p w:rsidR="004B417C" w:rsidRPr="00594184"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c>
          <w:tcPr>
            <w:tcW w:w="850" w:type="dxa"/>
            <w:tcBorders>
              <w:top w:val="double" w:sz="4" w:space="0" w:color="auto"/>
              <w:left w:val="nil"/>
              <w:bottom w:val="double" w:sz="4" w:space="0" w:color="auto"/>
              <w:right w:val="nil"/>
            </w:tcBorders>
            <w:vAlign w:val="center"/>
          </w:tcPr>
          <w:p w:rsidR="004B417C" w:rsidRPr="00594184"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c>
          <w:tcPr>
            <w:tcW w:w="993" w:type="dxa"/>
            <w:tcBorders>
              <w:top w:val="double" w:sz="4" w:space="0" w:color="auto"/>
              <w:left w:val="nil"/>
              <w:bottom w:val="double" w:sz="4" w:space="0" w:color="auto"/>
              <w:right w:val="nil"/>
            </w:tcBorders>
            <w:vAlign w:val="center"/>
          </w:tcPr>
          <w:p w:rsidR="004B417C" w:rsidRPr="00594184"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c>
          <w:tcPr>
            <w:tcW w:w="1275" w:type="dxa"/>
            <w:tcBorders>
              <w:top w:val="double" w:sz="4" w:space="0" w:color="auto"/>
              <w:left w:val="nil"/>
              <w:bottom w:val="double" w:sz="4" w:space="0" w:color="auto"/>
              <w:right w:val="nil"/>
            </w:tcBorders>
            <w:vAlign w:val="center"/>
          </w:tcPr>
          <w:p w:rsidR="004B417C" w:rsidRPr="00594184"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r>
      <w:tr w:rsidR="004B417C" w:rsidRPr="00594184">
        <w:trPr>
          <w:trHeight w:val="284"/>
        </w:trPr>
        <w:tc>
          <w:tcPr>
            <w:tcW w:w="3686" w:type="dxa"/>
            <w:tcBorders>
              <w:left w:val="nil"/>
              <w:right w:val="nil"/>
            </w:tcBorders>
            <w:noWrap/>
            <w:vAlign w:val="center"/>
          </w:tcPr>
          <w:p w:rsidR="004B417C" w:rsidRPr="00BE5873" w:rsidRDefault="004B417C" w:rsidP="00C26F2A">
            <w:pPr>
              <w:pStyle w:val="Heading2"/>
              <w:tabs>
                <w:tab w:val="clear" w:pos="227"/>
                <w:tab w:val="clear" w:pos="454"/>
                <w:tab w:val="clear" w:pos="680"/>
                <w:tab w:val="clear" w:pos="907"/>
              </w:tabs>
              <w:rPr>
                <w:szCs w:val="22"/>
                <w:lang w:val="el-GR"/>
              </w:rPr>
            </w:pPr>
            <w:r w:rsidRPr="00594184">
              <w:rPr>
                <w:szCs w:val="22"/>
                <w:lang w:val="el-GR"/>
              </w:rPr>
              <w:t>Σύνολα 31.12.20</w:t>
            </w:r>
            <w:r w:rsidRPr="00594184">
              <w:rPr>
                <w:szCs w:val="22"/>
              </w:rPr>
              <w:t>1</w:t>
            </w:r>
            <w:r>
              <w:rPr>
                <w:szCs w:val="22"/>
                <w:lang w:val="el-GR"/>
              </w:rPr>
              <w:t>1</w:t>
            </w:r>
          </w:p>
        </w:tc>
        <w:tc>
          <w:tcPr>
            <w:tcW w:w="1134" w:type="dxa"/>
            <w:tcBorders>
              <w:top w:val="double" w:sz="4" w:space="0" w:color="auto"/>
              <w:left w:val="nil"/>
              <w:bottom w:val="double" w:sz="4" w:space="0" w:color="auto"/>
              <w:right w:val="nil"/>
            </w:tcBorders>
            <w:vAlign w:val="center"/>
          </w:tcPr>
          <w:p w:rsidR="004B417C" w:rsidRPr="00BE5873"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Cs w:val="22"/>
                <w:lang w:val="el-GR"/>
              </w:rPr>
            </w:pPr>
            <w:r>
              <w:rPr>
                <w:b/>
                <w:szCs w:val="22"/>
                <w:lang w:val="el-GR"/>
              </w:rPr>
              <w:t>261.</w:t>
            </w:r>
            <w:r w:rsidR="0092124B">
              <w:rPr>
                <w:b/>
                <w:szCs w:val="22"/>
                <w:lang w:val="el-GR"/>
              </w:rPr>
              <w:t>159</w:t>
            </w:r>
          </w:p>
        </w:tc>
        <w:tc>
          <w:tcPr>
            <w:tcW w:w="850" w:type="dxa"/>
            <w:tcBorders>
              <w:top w:val="double" w:sz="4" w:space="0" w:color="auto"/>
              <w:left w:val="nil"/>
              <w:bottom w:val="double" w:sz="4" w:space="0" w:color="auto"/>
              <w:right w:val="nil"/>
            </w:tcBorders>
            <w:vAlign w:val="center"/>
          </w:tcPr>
          <w:p w:rsidR="004B417C" w:rsidRPr="00A02BE1"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Cs w:val="22"/>
                <w:lang w:val="el-GR"/>
              </w:rPr>
            </w:pPr>
            <w:r>
              <w:rPr>
                <w:b/>
                <w:szCs w:val="22"/>
                <w:lang w:val="el-GR"/>
              </w:rPr>
              <w:t>-</w:t>
            </w:r>
          </w:p>
        </w:tc>
        <w:tc>
          <w:tcPr>
            <w:tcW w:w="993" w:type="dxa"/>
            <w:tcBorders>
              <w:top w:val="double" w:sz="4" w:space="0" w:color="auto"/>
              <w:left w:val="nil"/>
              <w:bottom w:val="double" w:sz="4" w:space="0" w:color="auto"/>
              <w:right w:val="nil"/>
            </w:tcBorders>
            <w:vAlign w:val="center"/>
          </w:tcPr>
          <w:p w:rsidR="004B417C" w:rsidRPr="00BE5873"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Cs w:val="22"/>
                <w:lang w:val="el-GR"/>
              </w:rPr>
            </w:pPr>
            <w:r>
              <w:rPr>
                <w:b/>
                <w:szCs w:val="22"/>
                <w:lang w:val="el-GR"/>
              </w:rPr>
              <w:t>50.073</w:t>
            </w:r>
          </w:p>
        </w:tc>
        <w:tc>
          <w:tcPr>
            <w:tcW w:w="1275" w:type="dxa"/>
            <w:tcBorders>
              <w:top w:val="double" w:sz="4" w:space="0" w:color="auto"/>
              <w:left w:val="nil"/>
              <w:bottom w:val="double" w:sz="4" w:space="0" w:color="auto"/>
              <w:right w:val="nil"/>
            </w:tcBorders>
            <w:vAlign w:val="center"/>
          </w:tcPr>
          <w:p w:rsidR="004B417C" w:rsidRPr="00BE5873"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Cs w:val="22"/>
                <w:lang w:val="el-GR"/>
              </w:rPr>
            </w:pPr>
            <w:r>
              <w:rPr>
                <w:b/>
                <w:szCs w:val="22"/>
                <w:lang w:val="el-GR"/>
              </w:rPr>
              <w:t>311.2</w:t>
            </w:r>
            <w:r w:rsidR="0092124B">
              <w:rPr>
                <w:b/>
                <w:szCs w:val="22"/>
                <w:lang w:val="el-GR"/>
              </w:rPr>
              <w:t>32</w:t>
            </w:r>
          </w:p>
        </w:tc>
      </w:tr>
      <w:tr w:rsidR="004B417C" w:rsidRPr="00594184">
        <w:trPr>
          <w:trHeight w:val="284"/>
        </w:trPr>
        <w:tc>
          <w:tcPr>
            <w:tcW w:w="3686" w:type="dxa"/>
            <w:tcBorders>
              <w:left w:val="nil"/>
              <w:right w:val="nil"/>
            </w:tcBorders>
            <w:noWrap/>
            <w:vAlign w:val="center"/>
          </w:tcPr>
          <w:p w:rsidR="004B417C" w:rsidRPr="00594184"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ind w:firstLine="252"/>
              <w:rPr>
                <w:b/>
                <w:szCs w:val="22"/>
                <w:lang w:val="el-GR"/>
              </w:rPr>
            </w:pPr>
          </w:p>
        </w:tc>
        <w:tc>
          <w:tcPr>
            <w:tcW w:w="1134" w:type="dxa"/>
            <w:tcBorders>
              <w:top w:val="double" w:sz="4" w:space="0" w:color="auto"/>
              <w:left w:val="nil"/>
              <w:right w:val="nil"/>
            </w:tcBorders>
            <w:vAlign w:val="center"/>
          </w:tcPr>
          <w:p w:rsidR="004B417C" w:rsidRPr="00594184"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c>
          <w:tcPr>
            <w:tcW w:w="850" w:type="dxa"/>
            <w:tcBorders>
              <w:top w:val="double" w:sz="4" w:space="0" w:color="auto"/>
              <w:left w:val="nil"/>
              <w:right w:val="nil"/>
            </w:tcBorders>
            <w:vAlign w:val="center"/>
          </w:tcPr>
          <w:p w:rsidR="004B417C" w:rsidRPr="00594184"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c>
          <w:tcPr>
            <w:tcW w:w="993" w:type="dxa"/>
            <w:tcBorders>
              <w:top w:val="double" w:sz="4" w:space="0" w:color="auto"/>
              <w:left w:val="nil"/>
              <w:right w:val="nil"/>
            </w:tcBorders>
            <w:vAlign w:val="center"/>
          </w:tcPr>
          <w:p w:rsidR="004B417C" w:rsidRPr="00594184"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c>
          <w:tcPr>
            <w:tcW w:w="1275" w:type="dxa"/>
            <w:tcBorders>
              <w:top w:val="double" w:sz="4" w:space="0" w:color="auto"/>
              <w:left w:val="nil"/>
              <w:right w:val="nil"/>
            </w:tcBorders>
            <w:vAlign w:val="center"/>
          </w:tcPr>
          <w:p w:rsidR="004B417C" w:rsidRPr="00594184"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r>
      <w:tr w:rsidR="004B417C" w:rsidRPr="00594184">
        <w:trPr>
          <w:trHeight w:val="284"/>
        </w:trPr>
        <w:tc>
          <w:tcPr>
            <w:tcW w:w="3686" w:type="dxa"/>
            <w:tcBorders>
              <w:left w:val="nil"/>
              <w:right w:val="nil"/>
            </w:tcBorders>
            <w:noWrap/>
            <w:vAlign w:val="center"/>
          </w:tcPr>
          <w:p w:rsidR="004B417C" w:rsidRPr="00594184"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b/>
                <w:szCs w:val="22"/>
                <w:lang w:val="el-GR"/>
              </w:rPr>
            </w:pPr>
            <w:r w:rsidRPr="00594184">
              <w:rPr>
                <w:b/>
                <w:szCs w:val="22"/>
                <w:lang w:val="el-GR"/>
              </w:rPr>
              <w:t>ΠΑΘΗΤΙΚΟ</w:t>
            </w:r>
          </w:p>
        </w:tc>
        <w:tc>
          <w:tcPr>
            <w:tcW w:w="1134" w:type="dxa"/>
            <w:tcBorders>
              <w:left w:val="nil"/>
              <w:right w:val="nil"/>
            </w:tcBorders>
            <w:vAlign w:val="center"/>
          </w:tcPr>
          <w:p w:rsidR="004B417C" w:rsidRPr="00594184"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c>
          <w:tcPr>
            <w:tcW w:w="850" w:type="dxa"/>
            <w:tcBorders>
              <w:left w:val="nil"/>
              <w:right w:val="nil"/>
            </w:tcBorders>
            <w:vAlign w:val="center"/>
          </w:tcPr>
          <w:p w:rsidR="004B417C" w:rsidRPr="00594184"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c>
          <w:tcPr>
            <w:tcW w:w="993" w:type="dxa"/>
            <w:tcBorders>
              <w:left w:val="nil"/>
              <w:right w:val="nil"/>
            </w:tcBorders>
            <w:vAlign w:val="center"/>
          </w:tcPr>
          <w:p w:rsidR="004B417C" w:rsidRPr="00594184"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c>
          <w:tcPr>
            <w:tcW w:w="1275" w:type="dxa"/>
            <w:tcBorders>
              <w:left w:val="nil"/>
              <w:right w:val="nil"/>
            </w:tcBorders>
            <w:vAlign w:val="center"/>
          </w:tcPr>
          <w:p w:rsidR="004B417C" w:rsidRPr="00594184"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r>
      <w:tr w:rsidR="004B417C" w:rsidRPr="00594184">
        <w:trPr>
          <w:trHeight w:hRule="exact" w:val="340"/>
        </w:trPr>
        <w:tc>
          <w:tcPr>
            <w:tcW w:w="3686" w:type="dxa"/>
            <w:tcBorders>
              <w:left w:val="nil"/>
              <w:right w:val="nil"/>
            </w:tcBorders>
            <w:noWrap/>
            <w:vAlign w:val="center"/>
          </w:tcPr>
          <w:p w:rsidR="004B417C" w:rsidRPr="00594184"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szCs w:val="22"/>
                <w:lang w:val="el-GR"/>
              </w:rPr>
            </w:pPr>
            <w:r w:rsidRPr="00594184">
              <w:rPr>
                <w:szCs w:val="22"/>
                <w:lang w:val="el-GR"/>
              </w:rPr>
              <w:t>Ομολογιακά δάνεια</w:t>
            </w:r>
          </w:p>
        </w:tc>
        <w:tc>
          <w:tcPr>
            <w:tcW w:w="1134" w:type="dxa"/>
            <w:tcBorders>
              <w:left w:val="nil"/>
              <w:bottom w:val="single" w:sz="4" w:space="0" w:color="auto"/>
              <w:right w:val="nil"/>
            </w:tcBorders>
            <w:vAlign w:val="center"/>
          </w:tcPr>
          <w:p w:rsidR="004B417C" w:rsidRPr="00594184"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r>
              <w:rPr>
                <w:szCs w:val="22"/>
                <w:lang w:val="el-GR"/>
              </w:rPr>
              <w:t>343.000</w:t>
            </w:r>
          </w:p>
        </w:tc>
        <w:tc>
          <w:tcPr>
            <w:tcW w:w="850" w:type="dxa"/>
            <w:tcBorders>
              <w:left w:val="nil"/>
              <w:bottom w:val="single" w:sz="4" w:space="0" w:color="auto"/>
              <w:right w:val="nil"/>
            </w:tcBorders>
            <w:vAlign w:val="center"/>
          </w:tcPr>
          <w:p w:rsidR="004B417C" w:rsidRPr="00594184"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r w:rsidRPr="00594184">
              <w:rPr>
                <w:szCs w:val="22"/>
                <w:lang w:val="el-GR"/>
              </w:rPr>
              <w:t>-</w:t>
            </w:r>
          </w:p>
        </w:tc>
        <w:tc>
          <w:tcPr>
            <w:tcW w:w="993" w:type="dxa"/>
            <w:tcBorders>
              <w:left w:val="nil"/>
              <w:bottom w:val="single" w:sz="4" w:space="0" w:color="auto"/>
              <w:right w:val="nil"/>
            </w:tcBorders>
            <w:vAlign w:val="center"/>
          </w:tcPr>
          <w:p w:rsidR="004B417C" w:rsidRPr="00CF162A"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r>
              <w:rPr>
                <w:szCs w:val="22"/>
                <w:lang w:val="el-GR"/>
              </w:rPr>
              <w:t>43.489</w:t>
            </w:r>
          </w:p>
        </w:tc>
        <w:tc>
          <w:tcPr>
            <w:tcW w:w="1275" w:type="dxa"/>
            <w:tcBorders>
              <w:left w:val="nil"/>
              <w:bottom w:val="single" w:sz="4" w:space="0" w:color="auto"/>
              <w:right w:val="nil"/>
            </w:tcBorders>
            <w:vAlign w:val="center"/>
          </w:tcPr>
          <w:p w:rsidR="004B417C" w:rsidRPr="00CF162A"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r>
              <w:rPr>
                <w:szCs w:val="22"/>
                <w:lang w:val="el-GR"/>
              </w:rPr>
              <w:t>386.489</w:t>
            </w:r>
          </w:p>
        </w:tc>
      </w:tr>
      <w:tr w:rsidR="004B417C" w:rsidRPr="00594184">
        <w:trPr>
          <w:trHeight w:val="284"/>
        </w:trPr>
        <w:tc>
          <w:tcPr>
            <w:tcW w:w="3686" w:type="dxa"/>
            <w:tcBorders>
              <w:left w:val="nil"/>
              <w:right w:val="nil"/>
            </w:tcBorders>
            <w:noWrap/>
            <w:vAlign w:val="center"/>
          </w:tcPr>
          <w:p w:rsidR="004B417C" w:rsidRPr="009F4725"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szCs w:val="22"/>
                <w:lang w:val="el-GR"/>
              </w:rPr>
            </w:pPr>
            <w:r w:rsidRPr="00594184">
              <w:rPr>
                <w:b/>
                <w:szCs w:val="22"/>
                <w:lang w:val="el-GR"/>
              </w:rPr>
              <w:t>Σύνολα 31.12.201</w:t>
            </w:r>
            <w:r>
              <w:rPr>
                <w:b/>
                <w:szCs w:val="22"/>
                <w:lang w:val="el-GR"/>
              </w:rPr>
              <w:t>2</w:t>
            </w:r>
          </w:p>
        </w:tc>
        <w:tc>
          <w:tcPr>
            <w:tcW w:w="1134" w:type="dxa"/>
            <w:tcBorders>
              <w:top w:val="single" w:sz="4" w:space="0" w:color="auto"/>
              <w:left w:val="nil"/>
              <w:bottom w:val="double" w:sz="4" w:space="0" w:color="auto"/>
              <w:right w:val="nil"/>
            </w:tcBorders>
            <w:vAlign w:val="center"/>
          </w:tcPr>
          <w:p w:rsidR="004B417C" w:rsidRPr="00594184"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Cs w:val="22"/>
                <w:lang w:val="el-GR"/>
              </w:rPr>
            </w:pPr>
            <w:r>
              <w:rPr>
                <w:b/>
                <w:szCs w:val="22"/>
                <w:lang w:val="el-GR"/>
              </w:rPr>
              <w:t>343.000</w:t>
            </w:r>
          </w:p>
        </w:tc>
        <w:tc>
          <w:tcPr>
            <w:tcW w:w="850" w:type="dxa"/>
            <w:tcBorders>
              <w:top w:val="single" w:sz="4" w:space="0" w:color="auto"/>
              <w:left w:val="nil"/>
              <w:bottom w:val="double" w:sz="4" w:space="0" w:color="auto"/>
              <w:right w:val="nil"/>
            </w:tcBorders>
            <w:vAlign w:val="center"/>
          </w:tcPr>
          <w:p w:rsidR="004B417C" w:rsidRPr="00594184"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Cs w:val="22"/>
              </w:rPr>
            </w:pPr>
            <w:r w:rsidRPr="00594184">
              <w:rPr>
                <w:b/>
                <w:szCs w:val="22"/>
              </w:rPr>
              <w:t>-</w:t>
            </w:r>
          </w:p>
        </w:tc>
        <w:tc>
          <w:tcPr>
            <w:tcW w:w="993" w:type="dxa"/>
            <w:tcBorders>
              <w:top w:val="single" w:sz="4" w:space="0" w:color="auto"/>
              <w:left w:val="nil"/>
              <w:bottom w:val="double" w:sz="4" w:space="0" w:color="auto"/>
              <w:right w:val="nil"/>
            </w:tcBorders>
            <w:vAlign w:val="center"/>
          </w:tcPr>
          <w:p w:rsidR="004B417C" w:rsidRPr="00CF162A"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Cs w:val="22"/>
                <w:lang w:val="el-GR"/>
              </w:rPr>
            </w:pPr>
            <w:r>
              <w:rPr>
                <w:b/>
                <w:szCs w:val="22"/>
                <w:lang w:val="el-GR"/>
              </w:rPr>
              <w:t>43.489</w:t>
            </w:r>
          </w:p>
        </w:tc>
        <w:tc>
          <w:tcPr>
            <w:tcW w:w="1275" w:type="dxa"/>
            <w:tcBorders>
              <w:top w:val="single" w:sz="4" w:space="0" w:color="auto"/>
              <w:left w:val="nil"/>
              <w:bottom w:val="double" w:sz="4" w:space="0" w:color="auto"/>
              <w:right w:val="nil"/>
            </w:tcBorders>
            <w:vAlign w:val="center"/>
          </w:tcPr>
          <w:p w:rsidR="004B417C" w:rsidRPr="00CF162A"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Cs w:val="22"/>
                <w:lang w:val="el-GR"/>
              </w:rPr>
            </w:pPr>
            <w:r>
              <w:rPr>
                <w:b/>
                <w:szCs w:val="22"/>
                <w:lang w:val="el-GR"/>
              </w:rPr>
              <w:t>386.489</w:t>
            </w:r>
          </w:p>
        </w:tc>
      </w:tr>
      <w:tr w:rsidR="004B417C" w:rsidRPr="00594184">
        <w:trPr>
          <w:trHeight w:hRule="exact" w:val="113"/>
        </w:trPr>
        <w:tc>
          <w:tcPr>
            <w:tcW w:w="3686" w:type="dxa"/>
            <w:tcBorders>
              <w:left w:val="nil"/>
              <w:right w:val="nil"/>
            </w:tcBorders>
            <w:noWrap/>
            <w:vAlign w:val="center"/>
          </w:tcPr>
          <w:p w:rsidR="004B417C" w:rsidRPr="00594184"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b/>
                <w:szCs w:val="22"/>
                <w:lang w:val="el-GR"/>
              </w:rPr>
            </w:pPr>
          </w:p>
        </w:tc>
        <w:tc>
          <w:tcPr>
            <w:tcW w:w="1134" w:type="dxa"/>
            <w:tcBorders>
              <w:top w:val="double" w:sz="4" w:space="0" w:color="auto"/>
              <w:left w:val="nil"/>
              <w:bottom w:val="single" w:sz="4" w:space="0" w:color="auto"/>
              <w:right w:val="nil"/>
            </w:tcBorders>
            <w:vAlign w:val="center"/>
          </w:tcPr>
          <w:p w:rsidR="004B417C" w:rsidRPr="00594184"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Cs w:val="22"/>
                <w:lang w:val="el-GR"/>
              </w:rPr>
            </w:pPr>
          </w:p>
        </w:tc>
        <w:tc>
          <w:tcPr>
            <w:tcW w:w="850" w:type="dxa"/>
            <w:tcBorders>
              <w:top w:val="double" w:sz="4" w:space="0" w:color="auto"/>
              <w:left w:val="nil"/>
              <w:bottom w:val="single" w:sz="4" w:space="0" w:color="auto"/>
              <w:right w:val="nil"/>
            </w:tcBorders>
            <w:vAlign w:val="center"/>
          </w:tcPr>
          <w:p w:rsidR="004B417C" w:rsidRPr="00594184"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Cs w:val="22"/>
                <w:lang w:val="el-GR"/>
              </w:rPr>
            </w:pPr>
          </w:p>
        </w:tc>
        <w:tc>
          <w:tcPr>
            <w:tcW w:w="993" w:type="dxa"/>
            <w:tcBorders>
              <w:top w:val="double" w:sz="4" w:space="0" w:color="auto"/>
              <w:left w:val="nil"/>
              <w:bottom w:val="single" w:sz="4" w:space="0" w:color="auto"/>
              <w:right w:val="nil"/>
            </w:tcBorders>
            <w:vAlign w:val="center"/>
          </w:tcPr>
          <w:p w:rsidR="004B417C" w:rsidRPr="00594184"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Cs w:val="22"/>
                <w:lang w:val="el-GR"/>
              </w:rPr>
            </w:pPr>
          </w:p>
        </w:tc>
        <w:tc>
          <w:tcPr>
            <w:tcW w:w="1275" w:type="dxa"/>
            <w:tcBorders>
              <w:top w:val="double" w:sz="4" w:space="0" w:color="auto"/>
              <w:left w:val="nil"/>
              <w:bottom w:val="single" w:sz="4" w:space="0" w:color="auto"/>
              <w:right w:val="nil"/>
            </w:tcBorders>
            <w:vAlign w:val="center"/>
          </w:tcPr>
          <w:p w:rsidR="004B417C" w:rsidRPr="00594184"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Cs w:val="22"/>
                <w:lang w:val="el-GR"/>
              </w:rPr>
            </w:pPr>
          </w:p>
        </w:tc>
      </w:tr>
      <w:tr w:rsidR="004B417C" w:rsidRPr="00594184">
        <w:trPr>
          <w:trHeight w:val="284"/>
        </w:trPr>
        <w:tc>
          <w:tcPr>
            <w:tcW w:w="3686" w:type="dxa"/>
            <w:tcBorders>
              <w:left w:val="nil"/>
              <w:right w:val="nil"/>
            </w:tcBorders>
            <w:noWrap/>
            <w:vAlign w:val="center"/>
          </w:tcPr>
          <w:p w:rsidR="004B417C" w:rsidRPr="00CF162A"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szCs w:val="22"/>
                <w:lang w:val="el-GR"/>
              </w:rPr>
            </w:pPr>
            <w:r w:rsidRPr="00594184">
              <w:rPr>
                <w:b/>
                <w:szCs w:val="22"/>
                <w:lang w:val="el-GR"/>
              </w:rPr>
              <w:t>Σύνολα 31.12.20</w:t>
            </w:r>
            <w:r w:rsidRPr="00594184">
              <w:rPr>
                <w:b/>
                <w:szCs w:val="22"/>
              </w:rPr>
              <w:t>1</w:t>
            </w:r>
            <w:r>
              <w:rPr>
                <w:b/>
                <w:szCs w:val="22"/>
                <w:lang w:val="el-GR"/>
              </w:rPr>
              <w:t>1</w:t>
            </w:r>
          </w:p>
        </w:tc>
        <w:tc>
          <w:tcPr>
            <w:tcW w:w="1134" w:type="dxa"/>
            <w:tcBorders>
              <w:top w:val="single" w:sz="4" w:space="0" w:color="auto"/>
              <w:left w:val="nil"/>
              <w:bottom w:val="double" w:sz="4" w:space="0" w:color="auto"/>
              <w:right w:val="nil"/>
            </w:tcBorders>
            <w:vAlign w:val="center"/>
          </w:tcPr>
          <w:p w:rsidR="004B417C" w:rsidRPr="00CF162A"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Cs w:val="22"/>
                <w:lang w:val="el-GR"/>
              </w:rPr>
            </w:pPr>
            <w:r>
              <w:rPr>
                <w:b/>
                <w:szCs w:val="22"/>
                <w:lang w:val="el-GR"/>
              </w:rPr>
              <w:t>357.000</w:t>
            </w:r>
          </w:p>
        </w:tc>
        <w:tc>
          <w:tcPr>
            <w:tcW w:w="850" w:type="dxa"/>
            <w:tcBorders>
              <w:top w:val="single" w:sz="4" w:space="0" w:color="auto"/>
              <w:left w:val="nil"/>
              <w:bottom w:val="double" w:sz="4" w:space="0" w:color="auto"/>
              <w:right w:val="nil"/>
            </w:tcBorders>
            <w:vAlign w:val="center"/>
          </w:tcPr>
          <w:p w:rsidR="004B417C" w:rsidRPr="00594184"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Cs w:val="22"/>
                <w:lang w:val="el-GR"/>
              </w:rPr>
            </w:pPr>
            <w:r w:rsidRPr="00594184">
              <w:rPr>
                <w:b/>
                <w:szCs w:val="22"/>
                <w:lang w:val="el-GR"/>
              </w:rPr>
              <w:t>-</w:t>
            </w:r>
          </w:p>
        </w:tc>
        <w:tc>
          <w:tcPr>
            <w:tcW w:w="993" w:type="dxa"/>
            <w:tcBorders>
              <w:top w:val="single" w:sz="4" w:space="0" w:color="auto"/>
              <w:left w:val="nil"/>
              <w:bottom w:val="double" w:sz="4" w:space="0" w:color="auto"/>
              <w:right w:val="nil"/>
            </w:tcBorders>
            <w:vAlign w:val="center"/>
          </w:tcPr>
          <w:p w:rsidR="004B417C" w:rsidRPr="00CF162A"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Cs w:val="22"/>
                <w:lang w:val="el-GR"/>
              </w:rPr>
            </w:pPr>
            <w:r>
              <w:rPr>
                <w:b/>
                <w:szCs w:val="22"/>
                <w:lang w:val="el-GR"/>
              </w:rPr>
              <w:t>73.626</w:t>
            </w:r>
          </w:p>
        </w:tc>
        <w:tc>
          <w:tcPr>
            <w:tcW w:w="1275" w:type="dxa"/>
            <w:tcBorders>
              <w:top w:val="single" w:sz="4" w:space="0" w:color="auto"/>
              <w:left w:val="nil"/>
              <w:bottom w:val="double" w:sz="4" w:space="0" w:color="auto"/>
              <w:right w:val="nil"/>
            </w:tcBorders>
            <w:vAlign w:val="center"/>
          </w:tcPr>
          <w:p w:rsidR="004B417C" w:rsidRPr="00CF162A"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Cs w:val="22"/>
                <w:lang w:val="el-GR"/>
              </w:rPr>
            </w:pPr>
            <w:r>
              <w:rPr>
                <w:b/>
                <w:szCs w:val="22"/>
                <w:lang w:val="el-GR"/>
              </w:rPr>
              <w:t>430.626</w:t>
            </w:r>
          </w:p>
        </w:tc>
      </w:tr>
      <w:tr w:rsidR="004B417C" w:rsidRPr="00594184">
        <w:trPr>
          <w:trHeight w:val="284"/>
        </w:trPr>
        <w:tc>
          <w:tcPr>
            <w:tcW w:w="3686" w:type="dxa"/>
            <w:tcBorders>
              <w:left w:val="nil"/>
              <w:right w:val="nil"/>
            </w:tcBorders>
            <w:noWrap/>
            <w:vAlign w:val="center"/>
          </w:tcPr>
          <w:p w:rsidR="004B417C" w:rsidRPr="00594184" w:rsidRDefault="004B417C" w:rsidP="00C26F2A">
            <w:pPr>
              <w:pStyle w:val="Heading2"/>
              <w:tabs>
                <w:tab w:val="clear" w:pos="227"/>
                <w:tab w:val="clear" w:pos="454"/>
                <w:tab w:val="clear" w:pos="680"/>
                <w:tab w:val="clear" w:pos="907"/>
              </w:tabs>
              <w:rPr>
                <w:szCs w:val="22"/>
                <w:lang w:val="el-GR"/>
              </w:rPr>
            </w:pPr>
          </w:p>
        </w:tc>
        <w:tc>
          <w:tcPr>
            <w:tcW w:w="1134" w:type="dxa"/>
            <w:tcBorders>
              <w:left w:val="nil"/>
              <w:bottom w:val="single" w:sz="4" w:space="0" w:color="auto"/>
              <w:right w:val="nil"/>
            </w:tcBorders>
            <w:vAlign w:val="bottom"/>
          </w:tcPr>
          <w:p w:rsidR="004B417C" w:rsidRPr="00594184" w:rsidRDefault="004B417C" w:rsidP="003915C3">
            <w:pPr>
              <w:jc w:val="right"/>
              <w:rPr>
                <w:b/>
                <w:szCs w:val="22"/>
                <w:lang w:val="el-GR"/>
              </w:rPr>
            </w:pPr>
          </w:p>
        </w:tc>
        <w:tc>
          <w:tcPr>
            <w:tcW w:w="850" w:type="dxa"/>
            <w:tcBorders>
              <w:left w:val="nil"/>
              <w:bottom w:val="single" w:sz="4" w:space="0" w:color="auto"/>
              <w:right w:val="nil"/>
            </w:tcBorders>
            <w:vAlign w:val="bottom"/>
          </w:tcPr>
          <w:p w:rsidR="004B417C" w:rsidRPr="00594184" w:rsidRDefault="004B417C" w:rsidP="003915C3">
            <w:pPr>
              <w:jc w:val="right"/>
              <w:rPr>
                <w:b/>
                <w:bCs/>
                <w:szCs w:val="22"/>
                <w:lang w:val="el-GR"/>
              </w:rPr>
            </w:pPr>
          </w:p>
        </w:tc>
        <w:tc>
          <w:tcPr>
            <w:tcW w:w="993" w:type="dxa"/>
            <w:tcBorders>
              <w:left w:val="nil"/>
              <w:bottom w:val="single" w:sz="4" w:space="0" w:color="auto"/>
              <w:right w:val="nil"/>
            </w:tcBorders>
            <w:vAlign w:val="bottom"/>
          </w:tcPr>
          <w:p w:rsidR="004B417C" w:rsidRPr="00594184" w:rsidRDefault="004B417C" w:rsidP="003915C3">
            <w:pPr>
              <w:jc w:val="right"/>
              <w:rPr>
                <w:b/>
                <w:bCs/>
                <w:szCs w:val="22"/>
                <w:lang w:val="el-GR"/>
              </w:rPr>
            </w:pPr>
          </w:p>
        </w:tc>
        <w:tc>
          <w:tcPr>
            <w:tcW w:w="1275" w:type="dxa"/>
            <w:tcBorders>
              <w:left w:val="nil"/>
              <w:bottom w:val="single" w:sz="4" w:space="0" w:color="auto"/>
              <w:right w:val="nil"/>
            </w:tcBorders>
            <w:vAlign w:val="bottom"/>
          </w:tcPr>
          <w:p w:rsidR="004B417C" w:rsidRPr="00594184" w:rsidRDefault="004B417C" w:rsidP="003915C3">
            <w:pPr>
              <w:jc w:val="right"/>
              <w:rPr>
                <w:b/>
                <w:szCs w:val="22"/>
                <w:lang w:val="el-GR"/>
              </w:rPr>
            </w:pPr>
          </w:p>
        </w:tc>
      </w:tr>
      <w:tr w:rsidR="004B417C" w:rsidRPr="00594184">
        <w:trPr>
          <w:trHeight w:val="284"/>
        </w:trPr>
        <w:tc>
          <w:tcPr>
            <w:tcW w:w="3686" w:type="dxa"/>
            <w:tcBorders>
              <w:left w:val="nil"/>
              <w:right w:val="nil"/>
            </w:tcBorders>
            <w:noWrap/>
            <w:vAlign w:val="center"/>
          </w:tcPr>
          <w:p w:rsidR="004B417C" w:rsidRPr="009F4725" w:rsidRDefault="004B417C" w:rsidP="00C26F2A">
            <w:pPr>
              <w:pStyle w:val="Heading2"/>
              <w:tabs>
                <w:tab w:val="clear" w:pos="227"/>
                <w:tab w:val="clear" w:pos="454"/>
                <w:tab w:val="clear" w:pos="680"/>
                <w:tab w:val="clear" w:pos="907"/>
              </w:tabs>
              <w:rPr>
                <w:szCs w:val="22"/>
                <w:lang w:val="el-GR"/>
              </w:rPr>
            </w:pPr>
            <w:r w:rsidRPr="00594184">
              <w:rPr>
                <w:szCs w:val="22"/>
                <w:lang w:val="el-GR"/>
              </w:rPr>
              <w:t>Συναλλαγματική θέση 201</w:t>
            </w:r>
            <w:r>
              <w:rPr>
                <w:szCs w:val="22"/>
                <w:lang w:val="el-GR"/>
              </w:rPr>
              <w:t>2</w:t>
            </w:r>
          </w:p>
        </w:tc>
        <w:tc>
          <w:tcPr>
            <w:tcW w:w="1134" w:type="dxa"/>
            <w:tcBorders>
              <w:top w:val="single" w:sz="4" w:space="0" w:color="auto"/>
              <w:left w:val="nil"/>
              <w:bottom w:val="double" w:sz="4" w:space="0" w:color="auto"/>
              <w:right w:val="nil"/>
            </w:tcBorders>
            <w:vAlign w:val="bottom"/>
          </w:tcPr>
          <w:p w:rsidR="004B417C" w:rsidRPr="00594184" w:rsidRDefault="004B417C" w:rsidP="003915C3">
            <w:pPr>
              <w:jc w:val="right"/>
              <w:rPr>
                <w:b/>
                <w:szCs w:val="22"/>
                <w:lang w:val="el-GR"/>
              </w:rPr>
            </w:pPr>
            <w:r w:rsidRPr="00594184">
              <w:rPr>
                <w:b/>
                <w:szCs w:val="22"/>
              </w:rPr>
              <w:t>(</w:t>
            </w:r>
            <w:r w:rsidR="005622DD">
              <w:rPr>
                <w:b/>
                <w:szCs w:val="22"/>
                <w:lang w:val="el-GR"/>
              </w:rPr>
              <w:t>175.172</w:t>
            </w:r>
            <w:r w:rsidRPr="00594184">
              <w:rPr>
                <w:b/>
                <w:szCs w:val="22"/>
                <w:lang w:val="el-GR"/>
              </w:rPr>
              <w:t>)</w:t>
            </w:r>
          </w:p>
        </w:tc>
        <w:tc>
          <w:tcPr>
            <w:tcW w:w="850" w:type="dxa"/>
            <w:tcBorders>
              <w:top w:val="single" w:sz="4" w:space="0" w:color="auto"/>
              <w:left w:val="nil"/>
              <w:bottom w:val="double" w:sz="4" w:space="0" w:color="auto"/>
              <w:right w:val="nil"/>
            </w:tcBorders>
            <w:vAlign w:val="bottom"/>
          </w:tcPr>
          <w:p w:rsidR="004B417C" w:rsidRPr="0057160C" w:rsidRDefault="004B417C" w:rsidP="003915C3">
            <w:pPr>
              <w:jc w:val="right"/>
              <w:rPr>
                <w:b/>
                <w:szCs w:val="22"/>
                <w:lang w:val="el-GR"/>
              </w:rPr>
            </w:pPr>
            <w:r>
              <w:rPr>
                <w:b/>
                <w:szCs w:val="22"/>
                <w:lang w:val="el-GR"/>
              </w:rPr>
              <w:t>-</w:t>
            </w:r>
          </w:p>
        </w:tc>
        <w:tc>
          <w:tcPr>
            <w:tcW w:w="993" w:type="dxa"/>
            <w:tcBorders>
              <w:top w:val="single" w:sz="4" w:space="0" w:color="auto"/>
              <w:left w:val="nil"/>
              <w:bottom w:val="double" w:sz="4" w:space="0" w:color="auto"/>
              <w:right w:val="nil"/>
            </w:tcBorders>
            <w:vAlign w:val="bottom"/>
          </w:tcPr>
          <w:p w:rsidR="004B417C" w:rsidRPr="00594184" w:rsidRDefault="004B417C" w:rsidP="003915C3">
            <w:pPr>
              <w:jc w:val="right"/>
              <w:rPr>
                <w:b/>
                <w:szCs w:val="22"/>
              </w:rPr>
            </w:pPr>
            <w:r w:rsidRPr="00594184">
              <w:rPr>
                <w:b/>
                <w:szCs w:val="22"/>
              </w:rPr>
              <w:t>(</w:t>
            </w:r>
            <w:r>
              <w:rPr>
                <w:b/>
                <w:szCs w:val="22"/>
                <w:lang w:val="el-GR"/>
              </w:rPr>
              <w:t>11.506</w:t>
            </w:r>
            <w:r w:rsidRPr="00594184">
              <w:rPr>
                <w:b/>
                <w:szCs w:val="22"/>
              </w:rPr>
              <w:t>)</w:t>
            </w:r>
          </w:p>
        </w:tc>
        <w:tc>
          <w:tcPr>
            <w:tcW w:w="1275" w:type="dxa"/>
            <w:tcBorders>
              <w:top w:val="single" w:sz="4" w:space="0" w:color="auto"/>
              <w:left w:val="nil"/>
              <w:bottom w:val="double" w:sz="4" w:space="0" w:color="auto"/>
              <w:right w:val="nil"/>
            </w:tcBorders>
            <w:vAlign w:val="bottom"/>
          </w:tcPr>
          <w:p w:rsidR="004B417C" w:rsidRPr="00594184" w:rsidRDefault="004B417C" w:rsidP="003915C3">
            <w:pPr>
              <w:jc w:val="right"/>
              <w:rPr>
                <w:b/>
                <w:szCs w:val="22"/>
              </w:rPr>
            </w:pPr>
            <w:r>
              <w:rPr>
                <w:b/>
                <w:szCs w:val="22"/>
              </w:rPr>
              <w:t>(</w:t>
            </w:r>
            <w:r w:rsidR="00431C97">
              <w:rPr>
                <w:b/>
                <w:szCs w:val="22"/>
                <w:lang w:val="el-GR"/>
              </w:rPr>
              <w:t>186.678</w:t>
            </w:r>
            <w:r>
              <w:rPr>
                <w:b/>
                <w:szCs w:val="22"/>
              </w:rPr>
              <w:t>)</w:t>
            </w:r>
          </w:p>
        </w:tc>
      </w:tr>
      <w:tr w:rsidR="004B417C" w:rsidRPr="00594184">
        <w:trPr>
          <w:trHeight w:val="284"/>
        </w:trPr>
        <w:tc>
          <w:tcPr>
            <w:tcW w:w="3686" w:type="dxa"/>
            <w:tcBorders>
              <w:left w:val="nil"/>
              <w:right w:val="nil"/>
            </w:tcBorders>
            <w:noWrap/>
            <w:vAlign w:val="center"/>
          </w:tcPr>
          <w:p w:rsidR="004B417C" w:rsidRPr="00594184" w:rsidRDefault="004B417C" w:rsidP="00C26F2A">
            <w:pPr>
              <w:pStyle w:val="Heading2"/>
              <w:tabs>
                <w:tab w:val="clear" w:pos="227"/>
                <w:tab w:val="clear" w:pos="454"/>
                <w:tab w:val="clear" w:pos="680"/>
                <w:tab w:val="clear" w:pos="907"/>
              </w:tabs>
              <w:rPr>
                <w:szCs w:val="22"/>
                <w:lang w:val="el-GR"/>
              </w:rPr>
            </w:pPr>
          </w:p>
        </w:tc>
        <w:tc>
          <w:tcPr>
            <w:tcW w:w="1134" w:type="dxa"/>
            <w:tcBorders>
              <w:top w:val="single" w:sz="4" w:space="0" w:color="auto"/>
              <w:left w:val="nil"/>
              <w:bottom w:val="double" w:sz="4" w:space="0" w:color="auto"/>
              <w:right w:val="nil"/>
            </w:tcBorders>
            <w:vAlign w:val="bottom"/>
          </w:tcPr>
          <w:p w:rsidR="004B417C" w:rsidRPr="00594184" w:rsidRDefault="004B417C" w:rsidP="003915C3">
            <w:pPr>
              <w:jc w:val="right"/>
              <w:rPr>
                <w:b/>
                <w:bCs/>
                <w:szCs w:val="22"/>
                <w:lang w:val="el-GR"/>
              </w:rPr>
            </w:pPr>
          </w:p>
        </w:tc>
        <w:tc>
          <w:tcPr>
            <w:tcW w:w="850" w:type="dxa"/>
            <w:tcBorders>
              <w:top w:val="single" w:sz="4" w:space="0" w:color="auto"/>
              <w:left w:val="nil"/>
              <w:bottom w:val="double" w:sz="4" w:space="0" w:color="auto"/>
              <w:right w:val="nil"/>
            </w:tcBorders>
            <w:vAlign w:val="bottom"/>
          </w:tcPr>
          <w:p w:rsidR="004B417C" w:rsidRPr="00594184" w:rsidRDefault="004B417C" w:rsidP="003915C3">
            <w:pPr>
              <w:jc w:val="right"/>
              <w:rPr>
                <w:b/>
                <w:bCs/>
                <w:szCs w:val="22"/>
                <w:lang w:val="el-GR"/>
              </w:rPr>
            </w:pPr>
          </w:p>
        </w:tc>
        <w:tc>
          <w:tcPr>
            <w:tcW w:w="993" w:type="dxa"/>
            <w:tcBorders>
              <w:top w:val="single" w:sz="4" w:space="0" w:color="auto"/>
              <w:left w:val="nil"/>
              <w:bottom w:val="double" w:sz="4" w:space="0" w:color="auto"/>
              <w:right w:val="nil"/>
            </w:tcBorders>
            <w:vAlign w:val="bottom"/>
          </w:tcPr>
          <w:p w:rsidR="004B417C" w:rsidRPr="00594184" w:rsidRDefault="004B417C" w:rsidP="003915C3">
            <w:pPr>
              <w:jc w:val="right"/>
              <w:rPr>
                <w:b/>
                <w:bCs/>
                <w:szCs w:val="22"/>
              </w:rPr>
            </w:pPr>
          </w:p>
        </w:tc>
        <w:tc>
          <w:tcPr>
            <w:tcW w:w="1275" w:type="dxa"/>
            <w:tcBorders>
              <w:top w:val="single" w:sz="4" w:space="0" w:color="auto"/>
              <w:left w:val="nil"/>
              <w:bottom w:val="double" w:sz="4" w:space="0" w:color="auto"/>
              <w:right w:val="nil"/>
            </w:tcBorders>
            <w:vAlign w:val="bottom"/>
          </w:tcPr>
          <w:p w:rsidR="004B417C" w:rsidRPr="00594184" w:rsidRDefault="004B417C" w:rsidP="003915C3">
            <w:pPr>
              <w:jc w:val="right"/>
              <w:rPr>
                <w:b/>
                <w:bCs/>
                <w:szCs w:val="22"/>
                <w:lang w:val="el-GR"/>
              </w:rPr>
            </w:pPr>
          </w:p>
        </w:tc>
      </w:tr>
      <w:tr w:rsidR="004B417C" w:rsidRPr="00594184">
        <w:trPr>
          <w:trHeight w:val="284"/>
        </w:trPr>
        <w:tc>
          <w:tcPr>
            <w:tcW w:w="3686" w:type="dxa"/>
            <w:tcBorders>
              <w:left w:val="nil"/>
              <w:right w:val="nil"/>
            </w:tcBorders>
            <w:noWrap/>
            <w:vAlign w:val="center"/>
          </w:tcPr>
          <w:p w:rsidR="004B417C" w:rsidRPr="009F4725"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b/>
                <w:szCs w:val="22"/>
                <w:lang w:val="el-GR"/>
              </w:rPr>
            </w:pPr>
            <w:r w:rsidRPr="00594184">
              <w:rPr>
                <w:b/>
                <w:szCs w:val="22"/>
                <w:lang w:val="el-GR"/>
              </w:rPr>
              <w:t>Συναλλαγματική θέση 20</w:t>
            </w:r>
            <w:r>
              <w:rPr>
                <w:b/>
                <w:szCs w:val="22"/>
              </w:rPr>
              <w:t>1</w:t>
            </w:r>
            <w:r>
              <w:rPr>
                <w:b/>
                <w:szCs w:val="22"/>
                <w:lang w:val="el-GR"/>
              </w:rPr>
              <w:t>1</w:t>
            </w:r>
          </w:p>
        </w:tc>
        <w:tc>
          <w:tcPr>
            <w:tcW w:w="1134" w:type="dxa"/>
            <w:tcBorders>
              <w:top w:val="double" w:sz="4" w:space="0" w:color="auto"/>
              <w:left w:val="nil"/>
              <w:bottom w:val="double" w:sz="4" w:space="0" w:color="auto"/>
              <w:right w:val="nil"/>
            </w:tcBorders>
            <w:vAlign w:val="bottom"/>
          </w:tcPr>
          <w:p w:rsidR="004B417C" w:rsidRPr="00594184" w:rsidRDefault="004B417C" w:rsidP="00D41E7A">
            <w:pPr>
              <w:jc w:val="right"/>
              <w:rPr>
                <w:b/>
                <w:szCs w:val="22"/>
                <w:lang w:val="el-GR"/>
              </w:rPr>
            </w:pPr>
            <w:r w:rsidRPr="00594184">
              <w:rPr>
                <w:b/>
                <w:szCs w:val="22"/>
              </w:rPr>
              <w:t>(</w:t>
            </w:r>
            <w:r w:rsidR="00DD1D07">
              <w:rPr>
                <w:b/>
                <w:szCs w:val="22"/>
                <w:lang w:val="el-GR"/>
              </w:rPr>
              <w:t>95.84</w:t>
            </w:r>
            <w:r>
              <w:rPr>
                <w:b/>
                <w:szCs w:val="22"/>
                <w:lang w:val="el-GR"/>
              </w:rPr>
              <w:t>1</w:t>
            </w:r>
            <w:r w:rsidRPr="00594184">
              <w:rPr>
                <w:b/>
                <w:szCs w:val="22"/>
                <w:lang w:val="el-GR"/>
              </w:rPr>
              <w:t>)</w:t>
            </w:r>
          </w:p>
        </w:tc>
        <w:tc>
          <w:tcPr>
            <w:tcW w:w="850" w:type="dxa"/>
            <w:tcBorders>
              <w:top w:val="double" w:sz="4" w:space="0" w:color="auto"/>
              <w:left w:val="nil"/>
              <w:bottom w:val="double" w:sz="4" w:space="0" w:color="auto"/>
              <w:right w:val="nil"/>
            </w:tcBorders>
            <w:vAlign w:val="bottom"/>
          </w:tcPr>
          <w:p w:rsidR="004B417C" w:rsidRPr="00BC0BA7" w:rsidRDefault="00BC0BA7" w:rsidP="00D41E7A">
            <w:pPr>
              <w:jc w:val="right"/>
              <w:rPr>
                <w:b/>
                <w:szCs w:val="22"/>
                <w:lang w:val="el-GR"/>
              </w:rPr>
            </w:pPr>
            <w:r>
              <w:rPr>
                <w:b/>
                <w:szCs w:val="22"/>
                <w:lang w:val="el-GR"/>
              </w:rPr>
              <w:t>-</w:t>
            </w:r>
          </w:p>
        </w:tc>
        <w:tc>
          <w:tcPr>
            <w:tcW w:w="993" w:type="dxa"/>
            <w:tcBorders>
              <w:top w:val="double" w:sz="4" w:space="0" w:color="auto"/>
              <w:left w:val="nil"/>
              <w:bottom w:val="double" w:sz="4" w:space="0" w:color="auto"/>
              <w:right w:val="nil"/>
            </w:tcBorders>
            <w:vAlign w:val="bottom"/>
          </w:tcPr>
          <w:p w:rsidR="004B417C" w:rsidRPr="00594184" w:rsidRDefault="004B417C" w:rsidP="00D41E7A">
            <w:pPr>
              <w:jc w:val="right"/>
              <w:rPr>
                <w:b/>
                <w:szCs w:val="22"/>
              </w:rPr>
            </w:pPr>
            <w:r w:rsidRPr="00594184">
              <w:rPr>
                <w:b/>
                <w:szCs w:val="22"/>
              </w:rPr>
              <w:t>(</w:t>
            </w:r>
            <w:r>
              <w:rPr>
                <w:b/>
                <w:szCs w:val="22"/>
                <w:lang w:val="el-GR"/>
              </w:rPr>
              <w:t>23.553</w:t>
            </w:r>
            <w:r w:rsidRPr="00594184">
              <w:rPr>
                <w:b/>
                <w:szCs w:val="22"/>
              </w:rPr>
              <w:t>)</w:t>
            </w:r>
          </w:p>
        </w:tc>
        <w:tc>
          <w:tcPr>
            <w:tcW w:w="1275" w:type="dxa"/>
            <w:tcBorders>
              <w:top w:val="double" w:sz="4" w:space="0" w:color="auto"/>
              <w:left w:val="nil"/>
              <w:bottom w:val="double" w:sz="4" w:space="0" w:color="auto"/>
              <w:right w:val="nil"/>
            </w:tcBorders>
            <w:vAlign w:val="bottom"/>
          </w:tcPr>
          <w:p w:rsidR="004B417C" w:rsidRPr="00594184" w:rsidRDefault="004B417C" w:rsidP="00D41E7A">
            <w:pPr>
              <w:jc w:val="right"/>
              <w:rPr>
                <w:b/>
                <w:szCs w:val="22"/>
              </w:rPr>
            </w:pPr>
            <w:r w:rsidRPr="00594184">
              <w:rPr>
                <w:b/>
                <w:szCs w:val="22"/>
              </w:rPr>
              <w:t>(</w:t>
            </w:r>
            <w:r w:rsidR="00A816A2">
              <w:rPr>
                <w:b/>
                <w:szCs w:val="22"/>
                <w:lang w:val="el-GR"/>
              </w:rPr>
              <w:t>119.394</w:t>
            </w:r>
            <w:r w:rsidRPr="00594184">
              <w:rPr>
                <w:b/>
                <w:szCs w:val="22"/>
              </w:rPr>
              <w:t>)</w:t>
            </w:r>
          </w:p>
        </w:tc>
      </w:tr>
    </w:tbl>
    <w:p w:rsidR="004B417C" w:rsidRDefault="004B417C" w:rsidP="005027E5">
      <w:pPr>
        <w:pStyle w:val="Heading2"/>
        <w:ind w:left="539" w:hanging="539"/>
        <w:rPr>
          <w:lang w:val="el-GR"/>
        </w:rPr>
      </w:pPr>
      <w:bookmarkStart w:id="31" w:name="_Toc128477850"/>
      <w:r>
        <w:rPr>
          <w:lang w:val="el-GR"/>
        </w:rPr>
        <w:br w:type="page"/>
      </w:r>
      <w:r>
        <w:rPr>
          <w:lang w:val="el-GR"/>
        </w:rPr>
        <w:lastRenderedPageBreak/>
        <w:t>22.3</w:t>
      </w:r>
      <w:r>
        <w:rPr>
          <w:lang w:val="el-GR"/>
        </w:rPr>
        <w:tab/>
        <w:t>Επιτοκιακός κίνδυνος</w:t>
      </w:r>
      <w:bookmarkEnd w:id="31"/>
    </w:p>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both"/>
        <w:rPr>
          <w:lang w:val="el-GR"/>
        </w:rPr>
      </w:pPr>
    </w:p>
    <w:p w:rsidR="004B417C" w:rsidRDefault="004B417C" w:rsidP="00913F0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both"/>
        <w:rPr>
          <w:lang w:val="el-GR"/>
        </w:rPr>
      </w:pPr>
      <w:r>
        <w:rPr>
          <w:lang w:val="el-GR"/>
        </w:rPr>
        <w:t>Τα επιτόκια δανεισμού της Εταιρείας περιγράφονται στη Σημείωση 1</w:t>
      </w:r>
      <w:r w:rsidR="007F7423">
        <w:rPr>
          <w:lang w:val="el-GR"/>
        </w:rPr>
        <w:t>5</w:t>
      </w:r>
      <w:r>
        <w:rPr>
          <w:lang w:val="el-GR"/>
        </w:rPr>
        <w:t xml:space="preserve">. Η Εταιρεία αναλαμβάνει τους κινδύνους από την έκθεση στις μεταβολές των επιτοκίων που επηρεάζουν τη χρηματοοικονομική της θέση και τις ταμειακές της ροές. Οι μεταβολές στα επιτόκια της αγοράς μπορεί να έχουν θετική ή αρνητική επίπτωση στα επιτοκιακά περιθώρια της εταιρείας. </w:t>
      </w:r>
    </w:p>
    <w:p w:rsidR="004B417C" w:rsidRDefault="004B417C" w:rsidP="00913F06">
      <w:pPr>
        <w:pStyle w:val="BodyText3"/>
        <w:tabs>
          <w:tab w:val="clear" w:pos="0"/>
          <w:tab w:val="clear" w:pos="227"/>
          <w:tab w:val="clear" w:pos="454"/>
          <w:tab w:val="clear" w:pos="680"/>
          <w:tab w:val="clear" w:pos="864"/>
          <w:tab w:val="clear" w:pos="907"/>
          <w:tab w:val="clear" w:pos="1440"/>
          <w:tab w:val="clear" w:pos="1644"/>
          <w:tab w:val="clear" w:pos="1871"/>
          <w:tab w:val="clear" w:pos="2160"/>
          <w:tab w:val="clear" w:pos="2580"/>
          <w:tab w:val="clear" w:pos="2807"/>
          <w:tab w:val="clear" w:pos="2880"/>
          <w:tab w:val="clear" w:pos="3515"/>
          <w:tab w:val="clear" w:pos="3600"/>
          <w:tab w:val="clear" w:pos="3742"/>
          <w:tab w:val="clear" w:pos="4320"/>
          <w:tab w:val="clear" w:pos="4451"/>
          <w:tab w:val="clear" w:pos="4678"/>
          <w:tab w:val="clear" w:pos="5040"/>
          <w:tab w:val="clear" w:pos="5387"/>
          <w:tab w:val="clear" w:pos="5613"/>
          <w:tab w:val="clear" w:pos="5760"/>
          <w:tab w:val="clear" w:pos="6322"/>
          <w:tab w:val="clear" w:pos="6480"/>
          <w:tab w:val="clear" w:pos="6549"/>
          <w:tab w:val="clear" w:pos="7200"/>
          <w:tab w:val="clear" w:pos="8010"/>
          <w:tab w:val="clear" w:pos="8640"/>
          <w:tab w:val="clear" w:pos="9360"/>
          <w:tab w:val="clear" w:pos="10080"/>
          <w:tab w:val="clear" w:pos="10800"/>
          <w:tab w:val="clear" w:pos="11520"/>
        </w:tabs>
        <w:spacing w:line="240" w:lineRule="auto"/>
        <w:rPr>
          <w:lang w:val="el-GR"/>
        </w:rPr>
      </w:pPr>
    </w:p>
    <w:p w:rsidR="004B417C" w:rsidRDefault="004B417C" w:rsidP="00913F06">
      <w:pPr>
        <w:pStyle w:val="BodyText3"/>
        <w:tabs>
          <w:tab w:val="clear" w:pos="0"/>
          <w:tab w:val="clear" w:pos="227"/>
          <w:tab w:val="clear" w:pos="454"/>
          <w:tab w:val="clear" w:pos="680"/>
          <w:tab w:val="clear" w:pos="864"/>
          <w:tab w:val="clear" w:pos="907"/>
          <w:tab w:val="clear" w:pos="1440"/>
          <w:tab w:val="clear" w:pos="1644"/>
          <w:tab w:val="clear" w:pos="1871"/>
          <w:tab w:val="clear" w:pos="2160"/>
          <w:tab w:val="clear" w:pos="2580"/>
          <w:tab w:val="clear" w:pos="2807"/>
          <w:tab w:val="clear" w:pos="2880"/>
          <w:tab w:val="clear" w:pos="3515"/>
          <w:tab w:val="clear" w:pos="3600"/>
          <w:tab w:val="clear" w:pos="3742"/>
          <w:tab w:val="clear" w:pos="4320"/>
          <w:tab w:val="clear" w:pos="4451"/>
          <w:tab w:val="clear" w:pos="4678"/>
          <w:tab w:val="clear" w:pos="5040"/>
          <w:tab w:val="clear" w:pos="5387"/>
          <w:tab w:val="clear" w:pos="5613"/>
          <w:tab w:val="clear" w:pos="5760"/>
          <w:tab w:val="clear" w:pos="6322"/>
          <w:tab w:val="clear" w:pos="6480"/>
          <w:tab w:val="clear" w:pos="6549"/>
          <w:tab w:val="clear" w:pos="7200"/>
          <w:tab w:val="clear" w:pos="8010"/>
          <w:tab w:val="clear" w:pos="8640"/>
          <w:tab w:val="clear" w:pos="9360"/>
          <w:tab w:val="clear" w:pos="10080"/>
          <w:tab w:val="clear" w:pos="10800"/>
          <w:tab w:val="clear" w:pos="11520"/>
        </w:tabs>
        <w:spacing w:line="240" w:lineRule="auto"/>
        <w:rPr>
          <w:lang w:val="el-GR"/>
        </w:rPr>
      </w:pPr>
      <w:r>
        <w:rPr>
          <w:lang w:val="el-GR"/>
        </w:rPr>
        <w:t>Ο πίνακας που ακολουθεί παρουσιάζει την έκθεση της Εταιρείας στον επιτοκιακό κίνδυνο και περιλαμβάνει τα περιουσιακά στοιχεία και τις υποχρεώσεις της Εταιρείας σύμφωνα με τη συμβατική ημερομηνία ανατοκισμού ή την ωρίμανση αυτών χρονικά. Οι αναμενόμενες ημερομηνίες ανατοκισμού ή ωρίμανσης δεν αναμένεται να διαφέρουν σημαντικά από τις συμβάσεις από στις οποίες αναφέρονται.</w:t>
      </w:r>
    </w:p>
    <w:p w:rsidR="004B417C" w:rsidRPr="009F79F6" w:rsidRDefault="004B417C">
      <w:pPr>
        <w:pStyle w:val="BodyText3"/>
        <w:tabs>
          <w:tab w:val="clear" w:pos="0"/>
          <w:tab w:val="clear" w:pos="227"/>
          <w:tab w:val="clear" w:pos="454"/>
          <w:tab w:val="clear" w:pos="680"/>
          <w:tab w:val="clear" w:pos="864"/>
          <w:tab w:val="clear" w:pos="907"/>
          <w:tab w:val="clear" w:pos="1440"/>
          <w:tab w:val="clear" w:pos="1644"/>
          <w:tab w:val="clear" w:pos="1871"/>
          <w:tab w:val="clear" w:pos="2160"/>
          <w:tab w:val="clear" w:pos="2580"/>
          <w:tab w:val="clear" w:pos="2807"/>
          <w:tab w:val="clear" w:pos="2880"/>
          <w:tab w:val="clear" w:pos="3515"/>
          <w:tab w:val="clear" w:pos="3600"/>
          <w:tab w:val="clear" w:pos="3742"/>
          <w:tab w:val="clear" w:pos="4320"/>
          <w:tab w:val="clear" w:pos="4451"/>
          <w:tab w:val="clear" w:pos="4678"/>
          <w:tab w:val="clear" w:pos="5040"/>
          <w:tab w:val="clear" w:pos="5387"/>
          <w:tab w:val="clear" w:pos="5613"/>
          <w:tab w:val="clear" w:pos="5760"/>
          <w:tab w:val="clear" w:pos="6322"/>
          <w:tab w:val="clear" w:pos="6480"/>
          <w:tab w:val="clear" w:pos="6549"/>
          <w:tab w:val="clear" w:pos="7200"/>
          <w:tab w:val="clear" w:pos="8010"/>
          <w:tab w:val="clear" w:pos="8640"/>
          <w:tab w:val="clear" w:pos="9360"/>
          <w:tab w:val="clear" w:pos="10080"/>
          <w:tab w:val="clear" w:pos="10800"/>
          <w:tab w:val="clear" w:pos="11520"/>
        </w:tabs>
        <w:spacing w:line="240" w:lineRule="auto"/>
        <w:rPr>
          <w:lang w:val="el-GR"/>
        </w:rPr>
      </w:pPr>
    </w:p>
    <w:tbl>
      <w:tblPr>
        <w:tblW w:w="8820" w:type="dxa"/>
        <w:tblInd w:w="108" w:type="dxa"/>
        <w:tblLayout w:type="fixed"/>
        <w:tblLook w:val="0000"/>
      </w:tblPr>
      <w:tblGrid>
        <w:gridCol w:w="1980"/>
        <w:gridCol w:w="1080"/>
        <w:gridCol w:w="1119"/>
        <w:gridCol w:w="1136"/>
        <w:gridCol w:w="508"/>
        <w:gridCol w:w="719"/>
        <w:gridCol w:w="1063"/>
        <w:gridCol w:w="1215"/>
      </w:tblGrid>
      <w:tr w:rsidR="004B417C" w:rsidRPr="00B326D3" w:rsidTr="005F45F3">
        <w:trPr>
          <w:trHeight w:val="284"/>
        </w:trPr>
        <w:tc>
          <w:tcPr>
            <w:tcW w:w="1980" w:type="dxa"/>
            <w:tcBorders>
              <w:left w:val="nil"/>
              <w:bottom w:val="nil"/>
              <w:right w:val="nil"/>
            </w:tcBorders>
            <w:noWrap/>
            <w:vAlign w:val="center"/>
          </w:tcPr>
          <w:p w:rsidR="004B417C" w:rsidRPr="005A0B02" w:rsidRDefault="004B417C">
            <w:pPr>
              <w:tabs>
                <w:tab w:val="clear" w:pos="454"/>
                <w:tab w:val="clear" w:pos="680"/>
                <w:tab w:val="clear" w:pos="907"/>
                <w:tab w:val="clear" w:pos="1644"/>
                <w:tab w:val="clear" w:pos="1871"/>
                <w:tab w:val="clear" w:pos="2580"/>
                <w:tab w:val="clear" w:pos="2807"/>
                <w:tab w:val="clear" w:pos="3515"/>
                <w:tab w:val="clear" w:pos="4451"/>
                <w:tab w:val="clear" w:pos="4678"/>
                <w:tab w:val="clear" w:pos="5387"/>
                <w:tab w:val="clear" w:pos="5613"/>
                <w:tab w:val="clear" w:pos="6322"/>
                <w:tab w:val="clear" w:pos="6549"/>
              </w:tabs>
              <w:rPr>
                <w:sz w:val="20"/>
                <w:lang w:val="el-GR"/>
              </w:rPr>
            </w:pPr>
          </w:p>
        </w:tc>
        <w:tc>
          <w:tcPr>
            <w:tcW w:w="6840" w:type="dxa"/>
            <w:gridSpan w:val="7"/>
            <w:tcBorders>
              <w:left w:val="nil"/>
              <w:bottom w:val="single" w:sz="4" w:space="0" w:color="auto"/>
              <w:right w:val="nil"/>
            </w:tcBorders>
            <w:vAlign w:val="center"/>
          </w:tcPr>
          <w:p w:rsidR="004B417C" w:rsidRPr="00B326D3"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s>
              <w:jc w:val="center"/>
              <w:rPr>
                <w:b/>
                <w:sz w:val="20"/>
                <w:lang w:val="el-GR"/>
              </w:rPr>
            </w:pPr>
            <w:r w:rsidRPr="00B326D3">
              <w:rPr>
                <w:b/>
                <w:bCs/>
                <w:sz w:val="20"/>
              </w:rPr>
              <w:t>201</w:t>
            </w:r>
            <w:r w:rsidRPr="00B326D3">
              <w:rPr>
                <w:b/>
                <w:bCs/>
                <w:sz w:val="20"/>
                <w:lang w:val="el-GR"/>
              </w:rPr>
              <w:t>2</w:t>
            </w:r>
          </w:p>
        </w:tc>
      </w:tr>
      <w:tr w:rsidR="004B417C" w:rsidRPr="00B326D3" w:rsidTr="005F45F3">
        <w:trPr>
          <w:trHeight w:val="284"/>
        </w:trPr>
        <w:tc>
          <w:tcPr>
            <w:tcW w:w="1980" w:type="dxa"/>
            <w:tcBorders>
              <w:left w:val="nil"/>
              <w:bottom w:val="nil"/>
              <w:right w:val="nil"/>
            </w:tcBorders>
            <w:noWrap/>
            <w:vAlign w:val="center"/>
          </w:tcPr>
          <w:p w:rsidR="004B417C" w:rsidRPr="00B326D3" w:rsidRDefault="004B417C">
            <w:pPr>
              <w:tabs>
                <w:tab w:val="clear" w:pos="454"/>
                <w:tab w:val="clear" w:pos="680"/>
                <w:tab w:val="clear" w:pos="907"/>
                <w:tab w:val="clear" w:pos="1644"/>
                <w:tab w:val="clear" w:pos="1871"/>
                <w:tab w:val="clear" w:pos="2580"/>
                <w:tab w:val="clear" w:pos="2807"/>
                <w:tab w:val="clear" w:pos="3515"/>
                <w:tab w:val="clear" w:pos="4451"/>
                <w:tab w:val="clear" w:pos="4678"/>
                <w:tab w:val="clear" w:pos="5387"/>
                <w:tab w:val="clear" w:pos="5613"/>
                <w:tab w:val="clear" w:pos="6322"/>
                <w:tab w:val="clear" w:pos="6549"/>
              </w:tabs>
              <w:rPr>
                <w:sz w:val="20"/>
                <w:lang w:val="el-GR"/>
              </w:rPr>
            </w:pPr>
          </w:p>
        </w:tc>
        <w:tc>
          <w:tcPr>
            <w:tcW w:w="1080" w:type="dxa"/>
            <w:tcBorders>
              <w:top w:val="single" w:sz="4" w:space="0" w:color="auto"/>
              <w:left w:val="nil"/>
              <w:bottom w:val="single" w:sz="4" w:space="0" w:color="auto"/>
              <w:right w:val="nil"/>
            </w:tcBorders>
            <w:vAlign w:val="center"/>
          </w:tcPr>
          <w:p w:rsidR="004B417C" w:rsidRPr="00B326D3"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s>
              <w:jc w:val="center"/>
              <w:rPr>
                <w:b/>
                <w:sz w:val="20"/>
                <w:lang w:val="el-GR"/>
              </w:rPr>
            </w:pPr>
            <w:r w:rsidRPr="00B326D3">
              <w:rPr>
                <w:b/>
                <w:bCs/>
                <w:sz w:val="20"/>
                <w:lang w:val="el-GR"/>
              </w:rPr>
              <w:t>Έως 1 μήνα</w:t>
            </w:r>
          </w:p>
        </w:tc>
        <w:tc>
          <w:tcPr>
            <w:tcW w:w="1119" w:type="dxa"/>
            <w:tcBorders>
              <w:top w:val="single" w:sz="4" w:space="0" w:color="auto"/>
              <w:left w:val="nil"/>
              <w:bottom w:val="single" w:sz="4" w:space="0" w:color="auto"/>
              <w:right w:val="nil"/>
            </w:tcBorders>
            <w:vAlign w:val="center"/>
          </w:tcPr>
          <w:p w:rsidR="004B417C" w:rsidRPr="00B326D3" w:rsidRDefault="004B417C">
            <w:pPr>
              <w:autoSpaceDE w:val="0"/>
              <w:autoSpaceDN w:val="0"/>
              <w:adjustRightInd w:val="0"/>
              <w:spacing w:line="240" w:lineRule="auto"/>
              <w:jc w:val="center"/>
              <w:rPr>
                <w:b/>
                <w:bCs/>
                <w:sz w:val="20"/>
                <w:lang w:val="el-GR"/>
              </w:rPr>
            </w:pPr>
            <w:r w:rsidRPr="00B326D3">
              <w:rPr>
                <w:b/>
                <w:bCs/>
                <w:sz w:val="20"/>
                <w:lang w:val="el-GR"/>
              </w:rPr>
              <w:t>1-3 μήνες</w:t>
            </w:r>
          </w:p>
        </w:tc>
        <w:tc>
          <w:tcPr>
            <w:tcW w:w="1136" w:type="dxa"/>
            <w:tcBorders>
              <w:top w:val="single" w:sz="4" w:space="0" w:color="auto"/>
              <w:left w:val="nil"/>
              <w:bottom w:val="single" w:sz="4" w:space="0" w:color="auto"/>
              <w:right w:val="nil"/>
            </w:tcBorders>
            <w:vAlign w:val="center"/>
          </w:tcPr>
          <w:p w:rsidR="004B417C" w:rsidRPr="00B326D3" w:rsidRDefault="004B417C">
            <w:pPr>
              <w:autoSpaceDE w:val="0"/>
              <w:autoSpaceDN w:val="0"/>
              <w:adjustRightInd w:val="0"/>
              <w:spacing w:line="240" w:lineRule="auto"/>
              <w:jc w:val="center"/>
              <w:rPr>
                <w:b/>
                <w:bCs/>
                <w:sz w:val="20"/>
                <w:lang w:val="el-GR"/>
              </w:rPr>
            </w:pPr>
            <w:r w:rsidRPr="00B326D3">
              <w:rPr>
                <w:b/>
                <w:bCs/>
                <w:sz w:val="20"/>
                <w:lang w:val="el-GR"/>
              </w:rPr>
              <w:t>3-12 μήνες</w:t>
            </w:r>
          </w:p>
        </w:tc>
        <w:tc>
          <w:tcPr>
            <w:tcW w:w="508" w:type="dxa"/>
            <w:tcBorders>
              <w:top w:val="single" w:sz="4" w:space="0" w:color="auto"/>
              <w:left w:val="nil"/>
              <w:bottom w:val="single" w:sz="4" w:space="0" w:color="auto"/>
              <w:right w:val="nil"/>
            </w:tcBorders>
            <w:vAlign w:val="center"/>
          </w:tcPr>
          <w:p w:rsidR="004B417C" w:rsidRPr="00B326D3" w:rsidRDefault="004B417C">
            <w:pPr>
              <w:autoSpaceDE w:val="0"/>
              <w:autoSpaceDN w:val="0"/>
              <w:adjustRightInd w:val="0"/>
              <w:spacing w:line="240" w:lineRule="auto"/>
              <w:jc w:val="center"/>
              <w:rPr>
                <w:b/>
                <w:bCs/>
                <w:sz w:val="20"/>
                <w:lang w:val="el-GR"/>
              </w:rPr>
            </w:pPr>
            <w:r w:rsidRPr="00B326D3">
              <w:rPr>
                <w:b/>
                <w:bCs/>
                <w:sz w:val="20"/>
                <w:lang w:val="el-GR"/>
              </w:rPr>
              <w:t>1-5 έτη</w:t>
            </w:r>
          </w:p>
        </w:tc>
        <w:tc>
          <w:tcPr>
            <w:tcW w:w="719" w:type="dxa"/>
            <w:tcBorders>
              <w:top w:val="single" w:sz="4" w:space="0" w:color="auto"/>
              <w:left w:val="nil"/>
              <w:bottom w:val="single" w:sz="4" w:space="0" w:color="auto"/>
              <w:right w:val="nil"/>
            </w:tcBorders>
            <w:vAlign w:val="center"/>
          </w:tcPr>
          <w:p w:rsidR="004B417C" w:rsidRPr="00B326D3" w:rsidRDefault="004B417C">
            <w:pPr>
              <w:autoSpaceDE w:val="0"/>
              <w:autoSpaceDN w:val="0"/>
              <w:adjustRightInd w:val="0"/>
              <w:spacing w:line="240" w:lineRule="auto"/>
              <w:jc w:val="center"/>
              <w:rPr>
                <w:b/>
                <w:bCs/>
                <w:sz w:val="20"/>
                <w:lang w:val="el-GR"/>
              </w:rPr>
            </w:pPr>
            <w:r w:rsidRPr="00B326D3">
              <w:rPr>
                <w:b/>
                <w:bCs/>
                <w:sz w:val="20"/>
                <w:lang w:val="el-GR"/>
              </w:rPr>
              <w:t>Πάνω από 5 έτη</w:t>
            </w:r>
          </w:p>
        </w:tc>
        <w:tc>
          <w:tcPr>
            <w:tcW w:w="1063" w:type="dxa"/>
            <w:tcBorders>
              <w:top w:val="single" w:sz="4" w:space="0" w:color="auto"/>
              <w:left w:val="nil"/>
              <w:bottom w:val="single" w:sz="4" w:space="0" w:color="auto"/>
              <w:right w:val="nil"/>
            </w:tcBorders>
            <w:vAlign w:val="center"/>
          </w:tcPr>
          <w:p w:rsidR="004B417C" w:rsidRPr="00B326D3" w:rsidRDefault="004B417C">
            <w:pPr>
              <w:autoSpaceDE w:val="0"/>
              <w:autoSpaceDN w:val="0"/>
              <w:adjustRightInd w:val="0"/>
              <w:spacing w:line="240" w:lineRule="auto"/>
              <w:jc w:val="center"/>
              <w:rPr>
                <w:b/>
                <w:bCs/>
                <w:sz w:val="20"/>
                <w:lang w:val="el-GR"/>
              </w:rPr>
            </w:pPr>
            <w:r w:rsidRPr="00B326D3">
              <w:rPr>
                <w:b/>
                <w:bCs/>
                <w:sz w:val="20"/>
                <w:lang w:val="el-GR"/>
              </w:rPr>
              <w:t>Μη τοκοφόρα</w:t>
            </w:r>
          </w:p>
        </w:tc>
        <w:tc>
          <w:tcPr>
            <w:tcW w:w="1215" w:type="dxa"/>
            <w:tcBorders>
              <w:top w:val="single" w:sz="4" w:space="0" w:color="auto"/>
              <w:left w:val="nil"/>
              <w:bottom w:val="single" w:sz="4" w:space="0" w:color="auto"/>
              <w:right w:val="nil"/>
            </w:tcBorders>
            <w:vAlign w:val="center"/>
          </w:tcPr>
          <w:p w:rsidR="004B417C" w:rsidRPr="00B326D3"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s>
              <w:jc w:val="center"/>
              <w:rPr>
                <w:b/>
                <w:sz w:val="20"/>
                <w:lang w:val="el-GR"/>
              </w:rPr>
            </w:pPr>
            <w:r w:rsidRPr="00B326D3">
              <w:rPr>
                <w:b/>
                <w:sz w:val="20"/>
                <w:lang w:val="el-GR"/>
              </w:rPr>
              <w:t>Σύνολο</w:t>
            </w:r>
          </w:p>
        </w:tc>
      </w:tr>
      <w:tr w:rsidR="004B417C" w:rsidRPr="00B326D3" w:rsidTr="005F45F3">
        <w:trPr>
          <w:trHeight w:val="284"/>
        </w:trPr>
        <w:tc>
          <w:tcPr>
            <w:tcW w:w="1980" w:type="dxa"/>
            <w:tcBorders>
              <w:top w:val="nil"/>
              <w:left w:val="nil"/>
              <w:bottom w:val="nil"/>
              <w:right w:val="nil"/>
            </w:tcBorders>
            <w:noWrap/>
            <w:vAlign w:val="center"/>
          </w:tcPr>
          <w:p w:rsidR="004B417C" w:rsidRPr="00B326D3"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b/>
                <w:sz w:val="20"/>
                <w:lang w:val="el-GR"/>
              </w:rPr>
            </w:pPr>
            <w:r w:rsidRPr="00B326D3">
              <w:rPr>
                <w:b/>
                <w:sz w:val="20"/>
                <w:lang w:val="el-GR"/>
              </w:rPr>
              <w:t>ΕΝΕΡΓΗΤΙΚΟ</w:t>
            </w:r>
          </w:p>
        </w:tc>
        <w:tc>
          <w:tcPr>
            <w:tcW w:w="1080" w:type="dxa"/>
            <w:tcBorders>
              <w:left w:val="nil"/>
              <w:bottom w:val="nil"/>
              <w:right w:val="nil"/>
            </w:tcBorders>
            <w:vAlign w:val="center"/>
          </w:tcPr>
          <w:p w:rsidR="004B417C" w:rsidRPr="00B326D3"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s>
              <w:jc w:val="right"/>
              <w:rPr>
                <w:sz w:val="20"/>
                <w:lang w:val="el-GR"/>
              </w:rPr>
            </w:pPr>
          </w:p>
        </w:tc>
        <w:tc>
          <w:tcPr>
            <w:tcW w:w="1119" w:type="dxa"/>
            <w:tcBorders>
              <w:left w:val="nil"/>
              <w:bottom w:val="nil"/>
              <w:right w:val="nil"/>
            </w:tcBorders>
            <w:vAlign w:val="center"/>
          </w:tcPr>
          <w:p w:rsidR="004B417C" w:rsidRPr="00B326D3"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s>
              <w:jc w:val="right"/>
              <w:rPr>
                <w:sz w:val="20"/>
                <w:lang w:val="el-GR"/>
              </w:rPr>
            </w:pPr>
          </w:p>
        </w:tc>
        <w:tc>
          <w:tcPr>
            <w:tcW w:w="1136" w:type="dxa"/>
            <w:tcBorders>
              <w:left w:val="nil"/>
              <w:bottom w:val="nil"/>
              <w:right w:val="nil"/>
            </w:tcBorders>
            <w:vAlign w:val="center"/>
          </w:tcPr>
          <w:p w:rsidR="004B417C" w:rsidRPr="00B326D3"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s>
              <w:jc w:val="right"/>
              <w:rPr>
                <w:sz w:val="20"/>
                <w:lang w:val="el-GR"/>
              </w:rPr>
            </w:pPr>
          </w:p>
        </w:tc>
        <w:tc>
          <w:tcPr>
            <w:tcW w:w="508" w:type="dxa"/>
            <w:tcBorders>
              <w:left w:val="nil"/>
              <w:bottom w:val="nil"/>
              <w:right w:val="nil"/>
            </w:tcBorders>
            <w:vAlign w:val="center"/>
          </w:tcPr>
          <w:p w:rsidR="004B417C" w:rsidRPr="00B326D3"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s>
              <w:jc w:val="right"/>
              <w:rPr>
                <w:sz w:val="20"/>
                <w:lang w:val="el-GR"/>
              </w:rPr>
            </w:pPr>
          </w:p>
        </w:tc>
        <w:tc>
          <w:tcPr>
            <w:tcW w:w="719" w:type="dxa"/>
            <w:tcBorders>
              <w:left w:val="nil"/>
              <w:bottom w:val="nil"/>
              <w:right w:val="nil"/>
            </w:tcBorders>
            <w:vAlign w:val="center"/>
          </w:tcPr>
          <w:p w:rsidR="004B417C" w:rsidRPr="00B326D3"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s>
              <w:jc w:val="right"/>
              <w:rPr>
                <w:sz w:val="20"/>
                <w:lang w:val="el-GR"/>
              </w:rPr>
            </w:pPr>
          </w:p>
        </w:tc>
        <w:tc>
          <w:tcPr>
            <w:tcW w:w="1063" w:type="dxa"/>
            <w:tcBorders>
              <w:left w:val="nil"/>
              <w:bottom w:val="nil"/>
              <w:right w:val="nil"/>
            </w:tcBorders>
            <w:vAlign w:val="center"/>
          </w:tcPr>
          <w:p w:rsidR="004B417C" w:rsidRPr="00B326D3"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s>
              <w:jc w:val="right"/>
              <w:rPr>
                <w:sz w:val="20"/>
                <w:lang w:val="el-GR"/>
              </w:rPr>
            </w:pPr>
          </w:p>
        </w:tc>
        <w:tc>
          <w:tcPr>
            <w:tcW w:w="1215" w:type="dxa"/>
            <w:tcBorders>
              <w:left w:val="nil"/>
              <w:bottom w:val="nil"/>
              <w:right w:val="nil"/>
            </w:tcBorders>
            <w:vAlign w:val="center"/>
          </w:tcPr>
          <w:p w:rsidR="004B417C" w:rsidRPr="00B326D3"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s>
              <w:jc w:val="right"/>
              <w:rPr>
                <w:sz w:val="20"/>
                <w:lang w:val="el-GR"/>
              </w:rPr>
            </w:pPr>
          </w:p>
        </w:tc>
      </w:tr>
      <w:tr w:rsidR="004B417C" w:rsidRPr="00B326D3" w:rsidTr="005F45F3">
        <w:trPr>
          <w:trHeight w:val="284"/>
        </w:trPr>
        <w:tc>
          <w:tcPr>
            <w:tcW w:w="1980" w:type="dxa"/>
            <w:tcBorders>
              <w:top w:val="nil"/>
              <w:left w:val="nil"/>
              <w:bottom w:val="nil"/>
              <w:right w:val="nil"/>
            </w:tcBorders>
            <w:noWrap/>
            <w:vAlign w:val="center"/>
          </w:tcPr>
          <w:p w:rsidR="004B417C" w:rsidRPr="00B326D3"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sz w:val="20"/>
                <w:lang w:val="el-GR"/>
              </w:rPr>
            </w:pPr>
            <w:r w:rsidRPr="00B326D3">
              <w:rPr>
                <w:sz w:val="20"/>
                <w:lang w:val="el-GR"/>
              </w:rPr>
              <w:t>Χρηματικά Διαθέσιμα</w:t>
            </w:r>
          </w:p>
        </w:tc>
        <w:tc>
          <w:tcPr>
            <w:tcW w:w="1080" w:type="dxa"/>
            <w:tcBorders>
              <w:top w:val="nil"/>
              <w:left w:val="nil"/>
              <w:right w:val="nil"/>
            </w:tcBorders>
            <w:vAlign w:val="center"/>
          </w:tcPr>
          <w:p w:rsidR="004B417C" w:rsidRPr="00B326D3"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r w:rsidRPr="00B326D3">
              <w:rPr>
                <w:sz w:val="20"/>
                <w:lang w:val="el-GR"/>
              </w:rPr>
              <w:t>19.000</w:t>
            </w:r>
          </w:p>
        </w:tc>
        <w:tc>
          <w:tcPr>
            <w:tcW w:w="1119" w:type="dxa"/>
            <w:tcBorders>
              <w:top w:val="nil"/>
              <w:left w:val="nil"/>
              <w:right w:val="nil"/>
            </w:tcBorders>
            <w:vAlign w:val="center"/>
          </w:tcPr>
          <w:p w:rsidR="004B417C" w:rsidRPr="00B326D3"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r w:rsidRPr="00B326D3">
              <w:rPr>
                <w:sz w:val="20"/>
                <w:lang w:val="el-GR"/>
              </w:rPr>
              <w:t>-</w:t>
            </w:r>
          </w:p>
        </w:tc>
        <w:tc>
          <w:tcPr>
            <w:tcW w:w="1136" w:type="dxa"/>
            <w:tcBorders>
              <w:top w:val="nil"/>
              <w:left w:val="nil"/>
              <w:right w:val="nil"/>
            </w:tcBorders>
            <w:vAlign w:val="center"/>
          </w:tcPr>
          <w:p w:rsidR="004B417C" w:rsidRPr="00B326D3"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r w:rsidRPr="00B326D3">
              <w:rPr>
                <w:sz w:val="20"/>
                <w:lang w:val="el-GR"/>
              </w:rPr>
              <w:t>-</w:t>
            </w:r>
          </w:p>
        </w:tc>
        <w:tc>
          <w:tcPr>
            <w:tcW w:w="508" w:type="dxa"/>
            <w:tcBorders>
              <w:top w:val="nil"/>
              <w:left w:val="nil"/>
              <w:right w:val="nil"/>
            </w:tcBorders>
            <w:vAlign w:val="center"/>
          </w:tcPr>
          <w:p w:rsidR="004B417C" w:rsidRPr="00B326D3"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r w:rsidRPr="00B326D3">
              <w:rPr>
                <w:sz w:val="20"/>
                <w:lang w:val="el-GR"/>
              </w:rPr>
              <w:t>-</w:t>
            </w:r>
          </w:p>
        </w:tc>
        <w:tc>
          <w:tcPr>
            <w:tcW w:w="719" w:type="dxa"/>
            <w:tcBorders>
              <w:top w:val="nil"/>
              <w:left w:val="nil"/>
              <w:right w:val="nil"/>
            </w:tcBorders>
            <w:vAlign w:val="center"/>
          </w:tcPr>
          <w:p w:rsidR="004B417C" w:rsidRPr="00B326D3"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r w:rsidRPr="00B326D3">
              <w:rPr>
                <w:sz w:val="20"/>
                <w:lang w:val="el-GR"/>
              </w:rPr>
              <w:t>-</w:t>
            </w:r>
          </w:p>
        </w:tc>
        <w:tc>
          <w:tcPr>
            <w:tcW w:w="1063" w:type="dxa"/>
            <w:tcBorders>
              <w:top w:val="nil"/>
              <w:left w:val="nil"/>
              <w:right w:val="nil"/>
            </w:tcBorders>
            <w:vAlign w:val="center"/>
          </w:tcPr>
          <w:p w:rsidR="004B417C" w:rsidRPr="00B326D3"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r w:rsidRPr="00B326D3">
              <w:rPr>
                <w:sz w:val="20"/>
                <w:lang w:val="el-GR"/>
              </w:rPr>
              <w:t>3.472</w:t>
            </w:r>
          </w:p>
        </w:tc>
        <w:tc>
          <w:tcPr>
            <w:tcW w:w="1215" w:type="dxa"/>
            <w:tcBorders>
              <w:top w:val="nil"/>
              <w:left w:val="nil"/>
              <w:right w:val="nil"/>
            </w:tcBorders>
            <w:vAlign w:val="center"/>
          </w:tcPr>
          <w:p w:rsidR="004B417C" w:rsidRPr="00B326D3"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r w:rsidRPr="00B326D3">
              <w:rPr>
                <w:sz w:val="20"/>
                <w:lang w:val="el-GR"/>
              </w:rPr>
              <w:t>22.472</w:t>
            </w:r>
          </w:p>
        </w:tc>
      </w:tr>
      <w:tr w:rsidR="004B417C" w:rsidRPr="00B326D3" w:rsidTr="005F45F3">
        <w:trPr>
          <w:trHeight w:val="513"/>
        </w:trPr>
        <w:tc>
          <w:tcPr>
            <w:tcW w:w="1980" w:type="dxa"/>
            <w:tcBorders>
              <w:left w:val="nil"/>
              <w:right w:val="nil"/>
            </w:tcBorders>
            <w:noWrap/>
            <w:vAlign w:val="center"/>
          </w:tcPr>
          <w:p w:rsidR="004B417C" w:rsidRPr="00B326D3"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sz w:val="20"/>
                <w:lang w:val="el-GR"/>
              </w:rPr>
            </w:pPr>
            <w:r w:rsidRPr="00B326D3">
              <w:rPr>
                <w:sz w:val="20"/>
                <w:lang w:val="el-GR"/>
              </w:rPr>
              <w:t>Χρηματοοικονομικές απαιτήσεις από χρηματοδοτικές μισθώσεις</w:t>
            </w:r>
          </w:p>
        </w:tc>
        <w:tc>
          <w:tcPr>
            <w:tcW w:w="1080" w:type="dxa"/>
            <w:tcBorders>
              <w:left w:val="nil"/>
              <w:right w:val="nil"/>
            </w:tcBorders>
            <w:vAlign w:val="center"/>
          </w:tcPr>
          <w:p w:rsidR="004B417C" w:rsidRPr="00B326D3"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r w:rsidRPr="00B326D3">
              <w:rPr>
                <w:sz w:val="20"/>
                <w:lang w:val="el-GR"/>
              </w:rPr>
              <w:br/>
            </w:r>
            <w:r w:rsidRPr="00B326D3">
              <w:rPr>
                <w:sz w:val="20"/>
                <w:lang w:val="el-GR"/>
              </w:rPr>
              <w:br/>
            </w:r>
            <w:r w:rsidRPr="00B326D3">
              <w:rPr>
                <w:sz w:val="20"/>
                <w:lang w:val="el-GR"/>
              </w:rPr>
              <w:br/>
              <w:t>128.086</w:t>
            </w:r>
          </w:p>
        </w:tc>
        <w:tc>
          <w:tcPr>
            <w:tcW w:w="1119" w:type="dxa"/>
            <w:tcBorders>
              <w:left w:val="nil"/>
              <w:right w:val="nil"/>
            </w:tcBorders>
            <w:vAlign w:val="center"/>
          </w:tcPr>
          <w:p w:rsidR="004B417C" w:rsidRPr="00B326D3"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r w:rsidRPr="00B326D3">
              <w:rPr>
                <w:sz w:val="20"/>
                <w:lang w:val="el-GR"/>
              </w:rPr>
              <w:br/>
            </w:r>
            <w:r w:rsidRPr="00B326D3">
              <w:rPr>
                <w:sz w:val="20"/>
                <w:lang w:val="el-GR"/>
              </w:rPr>
              <w:br/>
            </w:r>
            <w:r w:rsidRPr="00B326D3">
              <w:rPr>
                <w:sz w:val="20"/>
                <w:lang w:val="el-GR"/>
              </w:rPr>
              <w:br/>
              <w:t>47.691</w:t>
            </w:r>
          </w:p>
        </w:tc>
        <w:tc>
          <w:tcPr>
            <w:tcW w:w="1136" w:type="dxa"/>
            <w:tcBorders>
              <w:left w:val="nil"/>
              <w:right w:val="nil"/>
            </w:tcBorders>
            <w:vAlign w:val="center"/>
          </w:tcPr>
          <w:p w:rsidR="004B417C" w:rsidRPr="00B326D3"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r w:rsidRPr="00B326D3">
              <w:rPr>
                <w:sz w:val="20"/>
                <w:lang w:val="el-GR"/>
              </w:rPr>
              <w:br/>
            </w:r>
            <w:r w:rsidRPr="00B326D3">
              <w:rPr>
                <w:sz w:val="20"/>
                <w:lang w:val="el-GR"/>
              </w:rPr>
              <w:br/>
            </w:r>
            <w:r w:rsidRPr="00B326D3">
              <w:rPr>
                <w:sz w:val="20"/>
                <w:lang w:val="el-GR"/>
              </w:rPr>
              <w:br/>
              <w:t>1.170</w:t>
            </w:r>
          </w:p>
        </w:tc>
        <w:tc>
          <w:tcPr>
            <w:tcW w:w="508" w:type="dxa"/>
            <w:tcBorders>
              <w:left w:val="nil"/>
              <w:right w:val="nil"/>
            </w:tcBorders>
            <w:vAlign w:val="center"/>
          </w:tcPr>
          <w:p w:rsidR="004B417C" w:rsidRPr="00B326D3"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r w:rsidRPr="00B326D3">
              <w:rPr>
                <w:sz w:val="20"/>
                <w:lang w:val="el-GR"/>
              </w:rPr>
              <w:br/>
            </w:r>
            <w:r w:rsidRPr="00B326D3">
              <w:rPr>
                <w:sz w:val="20"/>
                <w:lang w:val="el-GR"/>
              </w:rPr>
              <w:br/>
            </w:r>
            <w:r w:rsidRPr="00B326D3">
              <w:rPr>
                <w:sz w:val="20"/>
                <w:lang w:val="el-GR"/>
              </w:rPr>
              <w:br/>
              <w:t>-</w:t>
            </w:r>
          </w:p>
        </w:tc>
        <w:tc>
          <w:tcPr>
            <w:tcW w:w="719" w:type="dxa"/>
            <w:tcBorders>
              <w:left w:val="nil"/>
              <w:right w:val="nil"/>
            </w:tcBorders>
            <w:vAlign w:val="center"/>
          </w:tcPr>
          <w:p w:rsidR="004B417C" w:rsidRPr="00B326D3"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r w:rsidRPr="00B326D3">
              <w:rPr>
                <w:sz w:val="20"/>
                <w:lang w:val="el-GR"/>
              </w:rPr>
              <w:br/>
            </w:r>
            <w:r w:rsidRPr="00B326D3">
              <w:rPr>
                <w:sz w:val="20"/>
                <w:lang w:val="el-GR"/>
              </w:rPr>
              <w:br/>
            </w:r>
            <w:r w:rsidRPr="00B326D3">
              <w:rPr>
                <w:sz w:val="20"/>
                <w:lang w:val="el-GR"/>
              </w:rPr>
              <w:br/>
              <w:t>-</w:t>
            </w:r>
          </w:p>
        </w:tc>
        <w:tc>
          <w:tcPr>
            <w:tcW w:w="1063" w:type="dxa"/>
            <w:tcBorders>
              <w:left w:val="nil"/>
              <w:right w:val="nil"/>
            </w:tcBorders>
            <w:vAlign w:val="center"/>
          </w:tcPr>
          <w:p w:rsidR="004B417C" w:rsidRPr="00B326D3"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r w:rsidRPr="00B326D3">
              <w:rPr>
                <w:sz w:val="20"/>
                <w:lang w:val="el-GR"/>
              </w:rPr>
              <w:br/>
            </w:r>
            <w:r w:rsidRPr="00B326D3">
              <w:rPr>
                <w:sz w:val="20"/>
                <w:lang w:val="el-GR"/>
              </w:rPr>
              <w:br/>
            </w:r>
            <w:r w:rsidRPr="00B326D3">
              <w:rPr>
                <w:sz w:val="20"/>
                <w:lang w:val="el-GR"/>
              </w:rPr>
              <w:br/>
              <w:t>-</w:t>
            </w:r>
          </w:p>
        </w:tc>
        <w:tc>
          <w:tcPr>
            <w:tcW w:w="1215" w:type="dxa"/>
            <w:tcBorders>
              <w:left w:val="nil"/>
              <w:right w:val="nil"/>
            </w:tcBorders>
            <w:vAlign w:val="center"/>
          </w:tcPr>
          <w:p w:rsidR="004B417C" w:rsidRPr="00B326D3" w:rsidRDefault="004B417C" w:rsidP="003C221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r w:rsidRPr="00B326D3">
              <w:rPr>
                <w:sz w:val="20"/>
                <w:lang w:val="el-GR"/>
              </w:rPr>
              <w:br/>
            </w:r>
            <w:r w:rsidRPr="00B326D3">
              <w:rPr>
                <w:sz w:val="20"/>
                <w:lang w:val="el-GR"/>
              </w:rPr>
              <w:br/>
            </w:r>
            <w:r w:rsidRPr="00B326D3">
              <w:rPr>
                <w:sz w:val="20"/>
                <w:lang w:val="el-GR"/>
              </w:rPr>
              <w:br/>
              <w:t>176.947</w:t>
            </w:r>
          </w:p>
        </w:tc>
      </w:tr>
      <w:tr w:rsidR="004B417C" w:rsidRPr="00B326D3" w:rsidTr="005F45F3">
        <w:trPr>
          <w:trHeight w:val="284"/>
        </w:trPr>
        <w:tc>
          <w:tcPr>
            <w:tcW w:w="1980" w:type="dxa"/>
            <w:tcBorders>
              <w:left w:val="nil"/>
              <w:right w:val="nil"/>
            </w:tcBorders>
            <w:noWrap/>
            <w:vAlign w:val="center"/>
          </w:tcPr>
          <w:p w:rsidR="004B417C" w:rsidRPr="00B326D3"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sz w:val="20"/>
                <w:lang w:val="el-GR"/>
              </w:rPr>
            </w:pPr>
            <w:r w:rsidRPr="00B326D3">
              <w:rPr>
                <w:sz w:val="20"/>
                <w:lang w:val="el-GR"/>
              </w:rPr>
              <w:t>Αξιόγραφα διαθέσιμων προς πώληση επενδύσεων</w:t>
            </w:r>
          </w:p>
        </w:tc>
        <w:tc>
          <w:tcPr>
            <w:tcW w:w="1080" w:type="dxa"/>
            <w:tcBorders>
              <w:left w:val="nil"/>
              <w:right w:val="nil"/>
            </w:tcBorders>
            <w:vAlign w:val="center"/>
          </w:tcPr>
          <w:p w:rsidR="004B417C" w:rsidRPr="00B326D3"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r w:rsidRPr="00B326D3">
              <w:rPr>
                <w:sz w:val="20"/>
                <w:lang w:val="el-GR"/>
              </w:rPr>
              <w:br/>
              <w:t>-</w:t>
            </w:r>
          </w:p>
        </w:tc>
        <w:tc>
          <w:tcPr>
            <w:tcW w:w="1119" w:type="dxa"/>
            <w:tcBorders>
              <w:left w:val="nil"/>
              <w:right w:val="nil"/>
            </w:tcBorders>
            <w:vAlign w:val="center"/>
          </w:tcPr>
          <w:p w:rsidR="004B417C" w:rsidRPr="00B326D3"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r w:rsidRPr="00B326D3">
              <w:rPr>
                <w:sz w:val="20"/>
                <w:lang w:val="el-GR"/>
              </w:rPr>
              <w:br/>
              <w:t>-</w:t>
            </w:r>
          </w:p>
        </w:tc>
        <w:tc>
          <w:tcPr>
            <w:tcW w:w="1136" w:type="dxa"/>
            <w:tcBorders>
              <w:left w:val="nil"/>
              <w:right w:val="nil"/>
            </w:tcBorders>
            <w:vAlign w:val="center"/>
          </w:tcPr>
          <w:p w:rsidR="004B417C" w:rsidRPr="00B326D3"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r w:rsidRPr="00B326D3">
              <w:rPr>
                <w:sz w:val="20"/>
                <w:lang w:val="el-GR"/>
              </w:rPr>
              <w:br/>
              <w:t>-</w:t>
            </w:r>
          </w:p>
        </w:tc>
        <w:tc>
          <w:tcPr>
            <w:tcW w:w="508" w:type="dxa"/>
            <w:tcBorders>
              <w:left w:val="nil"/>
              <w:right w:val="nil"/>
            </w:tcBorders>
            <w:vAlign w:val="center"/>
          </w:tcPr>
          <w:p w:rsidR="004B417C" w:rsidRPr="00B326D3"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r w:rsidRPr="00B326D3">
              <w:rPr>
                <w:sz w:val="20"/>
                <w:lang w:val="el-GR"/>
              </w:rPr>
              <w:br/>
              <w:t>-</w:t>
            </w:r>
          </w:p>
        </w:tc>
        <w:tc>
          <w:tcPr>
            <w:tcW w:w="719" w:type="dxa"/>
            <w:tcBorders>
              <w:left w:val="nil"/>
              <w:right w:val="nil"/>
            </w:tcBorders>
            <w:vAlign w:val="center"/>
          </w:tcPr>
          <w:p w:rsidR="004B417C" w:rsidRPr="00B326D3"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r w:rsidRPr="00B326D3">
              <w:rPr>
                <w:sz w:val="20"/>
                <w:lang w:val="el-GR"/>
              </w:rPr>
              <w:br/>
              <w:t>-</w:t>
            </w:r>
          </w:p>
        </w:tc>
        <w:tc>
          <w:tcPr>
            <w:tcW w:w="1063" w:type="dxa"/>
            <w:tcBorders>
              <w:left w:val="nil"/>
              <w:right w:val="nil"/>
            </w:tcBorders>
            <w:vAlign w:val="center"/>
          </w:tcPr>
          <w:p w:rsidR="004B417C" w:rsidRPr="00B326D3"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r w:rsidRPr="00B326D3">
              <w:rPr>
                <w:sz w:val="20"/>
                <w:lang w:val="el-GR"/>
              </w:rPr>
              <w:br/>
              <w:t>392</w:t>
            </w:r>
          </w:p>
        </w:tc>
        <w:tc>
          <w:tcPr>
            <w:tcW w:w="1215" w:type="dxa"/>
            <w:tcBorders>
              <w:left w:val="nil"/>
              <w:right w:val="nil"/>
            </w:tcBorders>
            <w:vAlign w:val="center"/>
          </w:tcPr>
          <w:p w:rsidR="004B417C" w:rsidRPr="00B326D3"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r w:rsidRPr="00B326D3">
              <w:rPr>
                <w:sz w:val="20"/>
                <w:lang w:val="el-GR"/>
              </w:rPr>
              <w:br/>
              <w:t>392</w:t>
            </w:r>
          </w:p>
        </w:tc>
      </w:tr>
      <w:tr w:rsidR="004B417C" w:rsidRPr="00B326D3" w:rsidTr="005F45F3">
        <w:trPr>
          <w:trHeight w:hRule="exact" w:val="113"/>
        </w:trPr>
        <w:tc>
          <w:tcPr>
            <w:tcW w:w="1980" w:type="dxa"/>
            <w:tcBorders>
              <w:left w:val="nil"/>
              <w:bottom w:val="nil"/>
              <w:right w:val="nil"/>
            </w:tcBorders>
            <w:noWrap/>
            <w:vAlign w:val="center"/>
          </w:tcPr>
          <w:p w:rsidR="004B417C" w:rsidRPr="00B326D3"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b/>
                <w:sz w:val="20"/>
                <w:lang w:val="el-GR"/>
              </w:rPr>
            </w:pPr>
          </w:p>
        </w:tc>
        <w:tc>
          <w:tcPr>
            <w:tcW w:w="1080" w:type="dxa"/>
            <w:tcBorders>
              <w:left w:val="nil"/>
              <w:bottom w:val="single" w:sz="4" w:space="0" w:color="auto"/>
              <w:right w:val="nil"/>
            </w:tcBorders>
            <w:vAlign w:val="center"/>
          </w:tcPr>
          <w:p w:rsidR="004B417C" w:rsidRPr="00B326D3"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119" w:type="dxa"/>
            <w:tcBorders>
              <w:left w:val="nil"/>
              <w:bottom w:val="single" w:sz="4" w:space="0" w:color="auto"/>
              <w:right w:val="nil"/>
            </w:tcBorders>
            <w:vAlign w:val="center"/>
          </w:tcPr>
          <w:p w:rsidR="004B417C" w:rsidRPr="00B326D3"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136" w:type="dxa"/>
            <w:tcBorders>
              <w:left w:val="nil"/>
              <w:bottom w:val="single" w:sz="4" w:space="0" w:color="auto"/>
              <w:right w:val="nil"/>
            </w:tcBorders>
            <w:vAlign w:val="center"/>
          </w:tcPr>
          <w:p w:rsidR="004B417C" w:rsidRPr="00B326D3"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508" w:type="dxa"/>
            <w:tcBorders>
              <w:left w:val="nil"/>
              <w:bottom w:val="single" w:sz="4" w:space="0" w:color="auto"/>
              <w:right w:val="nil"/>
            </w:tcBorders>
            <w:vAlign w:val="center"/>
          </w:tcPr>
          <w:p w:rsidR="004B417C" w:rsidRPr="00B326D3"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719" w:type="dxa"/>
            <w:tcBorders>
              <w:left w:val="nil"/>
              <w:bottom w:val="single" w:sz="4" w:space="0" w:color="auto"/>
              <w:right w:val="nil"/>
            </w:tcBorders>
            <w:vAlign w:val="center"/>
          </w:tcPr>
          <w:p w:rsidR="004B417C" w:rsidRPr="00B326D3"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063" w:type="dxa"/>
            <w:tcBorders>
              <w:left w:val="nil"/>
              <w:bottom w:val="single" w:sz="4" w:space="0" w:color="auto"/>
              <w:right w:val="nil"/>
            </w:tcBorders>
            <w:vAlign w:val="center"/>
          </w:tcPr>
          <w:p w:rsidR="004B417C" w:rsidRPr="00B326D3"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215" w:type="dxa"/>
            <w:tcBorders>
              <w:left w:val="nil"/>
              <w:bottom w:val="single" w:sz="4" w:space="0" w:color="auto"/>
              <w:right w:val="nil"/>
            </w:tcBorders>
            <w:vAlign w:val="center"/>
          </w:tcPr>
          <w:p w:rsidR="004B417C" w:rsidRPr="00B326D3"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r>
      <w:tr w:rsidR="004B417C" w:rsidRPr="00B326D3" w:rsidTr="005F45F3">
        <w:trPr>
          <w:trHeight w:hRule="exact" w:val="249"/>
        </w:trPr>
        <w:tc>
          <w:tcPr>
            <w:tcW w:w="1980" w:type="dxa"/>
            <w:tcBorders>
              <w:left w:val="nil"/>
              <w:bottom w:val="nil"/>
              <w:right w:val="nil"/>
            </w:tcBorders>
            <w:noWrap/>
            <w:vAlign w:val="center"/>
          </w:tcPr>
          <w:p w:rsidR="004B417C" w:rsidRPr="00B326D3"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b/>
                <w:sz w:val="20"/>
                <w:lang w:val="el-GR"/>
              </w:rPr>
            </w:pPr>
            <w:r w:rsidRPr="00B326D3">
              <w:rPr>
                <w:b/>
                <w:sz w:val="20"/>
                <w:lang w:val="el-GR"/>
              </w:rPr>
              <w:t>Σύνολα 31.12.20</w:t>
            </w:r>
            <w:r w:rsidRPr="00B326D3">
              <w:rPr>
                <w:b/>
                <w:sz w:val="20"/>
              </w:rPr>
              <w:t>1</w:t>
            </w:r>
            <w:r w:rsidRPr="00B326D3">
              <w:rPr>
                <w:b/>
                <w:sz w:val="20"/>
                <w:lang w:val="el-GR"/>
              </w:rPr>
              <w:t>2</w:t>
            </w:r>
          </w:p>
        </w:tc>
        <w:tc>
          <w:tcPr>
            <w:tcW w:w="1080" w:type="dxa"/>
            <w:tcBorders>
              <w:top w:val="single" w:sz="4" w:space="0" w:color="auto"/>
              <w:left w:val="nil"/>
              <w:bottom w:val="double" w:sz="4" w:space="0" w:color="auto"/>
              <w:right w:val="nil"/>
            </w:tcBorders>
            <w:vAlign w:val="center"/>
          </w:tcPr>
          <w:p w:rsidR="004B417C" w:rsidRPr="00B326D3"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 w:val="20"/>
                <w:lang w:val="el-GR"/>
              </w:rPr>
            </w:pPr>
            <w:r w:rsidRPr="00B326D3">
              <w:rPr>
                <w:b/>
                <w:sz w:val="20"/>
                <w:lang w:val="el-GR"/>
              </w:rPr>
              <w:t>147.086</w:t>
            </w:r>
          </w:p>
        </w:tc>
        <w:tc>
          <w:tcPr>
            <w:tcW w:w="1119" w:type="dxa"/>
            <w:tcBorders>
              <w:top w:val="single" w:sz="4" w:space="0" w:color="auto"/>
              <w:left w:val="nil"/>
              <w:bottom w:val="double" w:sz="4" w:space="0" w:color="auto"/>
              <w:right w:val="nil"/>
            </w:tcBorders>
            <w:vAlign w:val="center"/>
          </w:tcPr>
          <w:p w:rsidR="004B417C" w:rsidRPr="00B326D3"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 w:val="20"/>
              </w:rPr>
            </w:pPr>
            <w:r w:rsidRPr="00B326D3">
              <w:rPr>
                <w:b/>
                <w:sz w:val="20"/>
                <w:lang w:val="el-GR"/>
              </w:rPr>
              <w:t>47.</w:t>
            </w:r>
            <w:r w:rsidR="00BD73D4" w:rsidRPr="00B326D3">
              <w:rPr>
                <w:b/>
                <w:sz w:val="20"/>
              </w:rPr>
              <w:t>691</w:t>
            </w:r>
          </w:p>
        </w:tc>
        <w:tc>
          <w:tcPr>
            <w:tcW w:w="1136" w:type="dxa"/>
            <w:tcBorders>
              <w:top w:val="single" w:sz="4" w:space="0" w:color="auto"/>
              <w:left w:val="nil"/>
              <w:bottom w:val="double" w:sz="4" w:space="0" w:color="auto"/>
              <w:right w:val="nil"/>
            </w:tcBorders>
            <w:vAlign w:val="center"/>
          </w:tcPr>
          <w:p w:rsidR="004B417C" w:rsidRPr="00B326D3"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 w:val="20"/>
                <w:lang w:val="el-GR"/>
              </w:rPr>
            </w:pPr>
            <w:r w:rsidRPr="00B326D3">
              <w:rPr>
                <w:b/>
                <w:sz w:val="20"/>
                <w:lang w:val="el-GR"/>
              </w:rPr>
              <w:t>1.170</w:t>
            </w:r>
          </w:p>
        </w:tc>
        <w:tc>
          <w:tcPr>
            <w:tcW w:w="508" w:type="dxa"/>
            <w:tcBorders>
              <w:top w:val="single" w:sz="4" w:space="0" w:color="auto"/>
              <w:left w:val="nil"/>
              <w:bottom w:val="double" w:sz="4" w:space="0" w:color="auto"/>
              <w:right w:val="nil"/>
            </w:tcBorders>
            <w:vAlign w:val="center"/>
          </w:tcPr>
          <w:p w:rsidR="004B417C" w:rsidRPr="00B326D3"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 w:val="20"/>
                <w:lang w:val="el-GR"/>
              </w:rPr>
            </w:pPr>
            <w:r w:rsidRPr="00B326D3">
              <w:rPr>
                <w:b/>
                <w:sz w:val="20"/>
                <w:lang w:val="el-GR"/>
              </w:rPr>
              <w:t>-</w:t>
            </w:r>
          </w:p>
        </w:tc>
        <w:tc>
          <w:tcPr>
            <w:tcW w:w="719" w:type="dxa"/>
            <w:tcBorders>
              <w:top w:val="single" w:sz="4" w:space="0" w:color="auto"/>
              <w:left w:val="nil"/>
              <w:bottom w:val="double" w:sz="4" w:space="0" w:color="auto"/>
              <w:right w:val="nil"/>
            </w:tcBorders>
            <w:vAlign w:val="center"/>
          </w:tcPr>
          <w:p w:rsidR="004B417C" w:rsidRPr="00B326D3"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 w:val="20"/>
              </w:rPr>
            </w:pPr>
            <w:r w:rsidRPr="00B326D3">
              <w:rPr>
                <w:b/>
                <w:sz w:val="20"/>
              </w:rPr>
              <w:t>-</w:t>
            </w:r>
          </w:p>
        </w:tc>
        <w:tc>
          <w:tcPr>
            <w:tcW w:w="1063" w:type="dxa"/>
            <w:tcBorders>
              <w:top w:val="single" w:sz="4" w:space="0" w:color="auto"/>
              <w:left w:val="nil"/>
              <w:bottom w:val="double" w:sz="4" w:space="0" w:color="auto"/>
              <w:right w:val="nil"/>
            </w:tcBorders>
            <w:vAlign w:val="center"/>
          </w:tcPr>
          <w:p w:rsidR="004B417C" w:rsidRPr="00B326D3"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 w:val="20"/>
                <w:lang w:val="el-GR"/>
              </w:rPr>
            </w:pPr>
            <w:r w:rsidRPr="00B326D3">
              <w:rPr>
                <w:b/>
                <w:sz w:val="20"/>
                <w:lang w:val="el-GR"/>
              </w:rPr>
              <w:t>3.864</w:t>
            </w:r>
          </w:p>
        </w:tc>
        <w:tc>
          <w:tcPr>
            <w:tcW w:w="1215" w:type="dxa"/>
            <w:tcBorders>
              <w:top w:val="single" w:sz="4" w:space="0" w:color="auto"/>
              <w:left w:val="nil"/>
              <w:bottom w:val="double" w:sz="4" w:space="0" w:color="auto"/>
              <w:right w:val="nil"/>
            </w:tcBorders>
            <w:vAlign w:val="center"/>
          </w:tcPr>
          <w:p w:rsidR="004B417C" w:rsidRPr="00B326D3"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 w:val="20"/>
                <w:lang w:val="el-GR"/>
              </w:rPr>
            </w:pPr>
            <w:r w:rsidRPr="00B326D3">
              <w:rPr>
                <w:b/>
                <w:sz w:val="20"/>
                <w:lang w:val="el-GR"/>
              </w:rPr>
              <w:t>199.811</w:t>
            </w:r>
          </w:p>
        </w:tc>
      </w:tr>
      <w:tr w:rsidR="004B417C" w:rsidRPr="00B326D3" w:rsidTr="005F45F3">
        <w:trPr>
          <w:trHeight w:hRule="exact" w:val="113"/>
        </w:trPr>
        <w:tc>
          <w:tcPr>
            <w:tcW w:w="1980" w:type="dxa"/>
            <w:tcBorders>
              <w:top w:val="nil"/>
              <w:left w:val="nil"/>
              <w:right w:val="nil"/>
            </w:tcBorders>
            <w:noWrap/>
            <w:vAlign w:val="center"/>
          </w:tcPr>
          <w:p w:rsidR="004B417C" w:rsidRPr="00B326D3"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b/>
                <w:sz w:val="20"/>
                <w:lang w:val="el-GR"/>
              </w:rPr>
            </w:pPr>
          </w:p>
        </w:tc>
        <w:tc>
          <w:tcPr>
            <w:tcW w:w="1080" w:type="dxa"/>
            <w:tcBorders>
              <w:top w:val="double" w:sz="4" w:space="0" w:color="auto"/>
              <w:left w:val="nil"/>
              <w:bottom w:val="single" w:sz="4" w:space="0" w:color="auto"/>
              <w:right w:val="nil"/>
            </w:tcBorders>
            <w:vAlign w:val="center"/>
          </w:tcPr>
          <w:p w:rsidR="004B417C" w:rsidRPr="00B326D3"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119" w:type="dxa"/>
            <w:tcBorders>
              <w:top w:val="double" w:sz="4" w:space="0" w:color="auto"/>
              <w:left w:val="nil"/>
              <w:bottom w:val="single" w:sz="4" w:space="0" w:color="auto"/>
              <w:right w:val="nil"/>
            </w:tcBorders>
            <w:vAlign w:val="center"/>
          </w:tcPr>
          <w:p w:rsidR="004B417C" w:rsidRPr="00B326D3"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136" w:type="dxa"/>
            <w:tcBorders>
              <w:top w:val="double" w:sz="4" w:space="0" w:color="auto"/>
              <w:left w:val="nil"/>
              <w:bottom w:val="single" w:sz="4" w:space="0" w:color="auto"/>
              <w:right w:val="nil"/>
            </w:tcBorders>
            <w:vAlign w:val="center"/>
          </w:tcPr>
          <w:p w:rsidR="004B417C" w:rsidRPr="00B326D3"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508" w:type="dxa"/>
            <w:tcBorders>
              <w:top w:val="double" w:sz="4" w:space="0" w:color="auto"/>
              <w:left w:val="nil"/>
              <w:bottom w:val="single" w:sz="4" w:space="0" w:color="auto"/>
              <w:right w:val="nil"/>
            </w:tcBorders>
            <w:vAlign w:val="center"/>
          </w:tcPr>
          <w:p w:rsidR="004B417C" w:rsidRPr="00B326D3"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719" w:type="dxa"/>
            <w:tcBorders>
              <w:top w:val="double" w:sz="4" w:space="0" w:color="auto"/>
              <w:left w:val="nil"/>
              <w:bottom w:val="single" w:sz="4" w:space="0" w:color="auto"/>
              <w:right w:val="nil"/>
            </w:tcBorders>
            <w:vAlign w:val="center"/>
          </w:tcPr>
          <w:p w:rsidR="004B417C" w:rsidRPr="00B326D3"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063" w:type="dxa"/>
            <w:tcBorders>
              <w:top w:val="double" w:sz="4" w:space="0" w:color="auto"/>
              <w:left w:val="nil"/>
              <w:bottom w:val="single" w:sz="4" w:space="0" w:color="auto"/>
              <w:right w:val="nil"/>
            </w:tcBorders>
            <w:vAlign w:val="center"/>
          </w:tcPr>
          <w:p w:rsidR="004B417C" w:rsidRPr="00B326D3"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215" w:type="dxa"/>
            <w:tcBorders>
              <w:top w:val="double" w:sz="4" w:space="0" w:color="auto"/>
              <w:left w:val="nil"/>
              <w:bottom w:val="single" w:sz="4" w:space="0" w:color="auto"/>
              <w:right w:val="nil"/>
            </w:tcBorders>
            <w:vAlign w:val="center"/>
          </w:tcPr>
          <w:p w:rsidR="004B417C" w:rsidRPr="00B326D3"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r>
      <w:tr w:rsidR="004B417C" w:rsidRPr="00B326D3" w:rsidTr="005F45F3">
        <w:trPr>
          <w:trHeight w:val="284"/>
        </w:trPr>
        <w:tc>
          <w:tcPr>
            <w:tcW w:w="1980" w:type="dxa"/>
            <w:tcBorders>
              <w:left w:val="nil"/>
              <w:right w:val="nil"/>
            </w:tcBorders>
            <w:noWrap/>
            <w:vAlign w:val="center"/>
          </w:tcPr>
          <w:p w:rsidR="004B417C" w:rsidRPr="00B326D3"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b/>
                <w:sz w:val="20"/>
                <w:lang w:val="el-GR"/>
              </w:rPr>
            </w:pPr>
            <w:r w:rsidRPr="00B326D3">
              <w:rPr>
                <w:b/>
                <w:sz w:val="20"/>
                <w:lang w:val="el-GR"/>
              </w:rPr>
              <w:t>Σύνολα 31.12.20</w:t>
            </w:r>
            <w:r w:rsidRPr="00B326D3">
              <w:rPr>
                <w:b/>
                <w:sz w:val="20"/>
              </w:rPr>
              <w:t>1</w:t>
            </w:r>
            <w:r w:rsidRPr="00B326D3">
              <w:rPr>
                <w:b/>
                <w:sz w:val="20"/>
                <w:lang w:val="el-GR"/>
              </w:rPr>
              <w:t>1</w:t>
            </w:r>
          </w:p>
        </w:tc>
        <w:tc>
          <w:tcPr>
            <w:tcW w:w="1080" w:type="dxa"/>
            <w:tcBorders>
              <w:top w:val="single" w:sz="4" w:space="0" w:color="auto"/>
              <w:left w:val="nil"/>
              <w:bottom w:val="double" w:sz="4" w:space="0" w:color="auto"/>
              <w:right w:val="nil"/>
            </w:tcBorders>
            <w:vAlign w:val="center"/>
          </w:tcPr>
          <w:p w:rsidR="004B417C" w:rsidRPr="00B326D3"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 w:val="20"/>
                <w:lang w:val="el-GR"/>
              </w:rPr>
            </w:pPr>
            <w:r w:rsidRPr="00B326D3">
              <w:rPr>
                <w:b/>
                <w:sz w:val="20"/>
                <w:lang w:val="el-GR"/>
              </w:rPr>
              <w:t>251.618</w:t>
            </w:r>
          </w:p>
        </w:tc>
        <w:tc>
          <w:tcPr>
            <w:tcW w:w="1119" w:type="dxa"/>
            <w:tcBorders>
              <w:top w:val="single" w:sz="4" w:space="0" w:color="auto"/>
              <w:left w:val="nil"/>
              <w:bottom w:val="double" w:sz="4" w:space="0" w:color="auto"/>
              <w:right w:val="nil"/>
            </w:tcBorders>
            <w:vAlign w:val="center"/>
          </w:tcPr>
          <w:p w:rsidR="004B417C" w:rsidRPr="00B326D3"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 w:val="20"/>
                <w:lang w:val="el-GR"/>
              </w:rPr>
            </w:pPr>
            <w:r w:rsidRPr="00B326D3">
              <w:rPr>
                <w:b/>
                <w:sz w:val="20"/>
                <w:lang w:val="el-GR"/>
              </w:rPr>
              <w:t>56.975</w:t>
            </w:r>
          </w:p>
        </w:tc>
        <w:tc>
          <w:tcPr>
            <w:tcW w:w="1136" w:type="dxa"/>
            <w:tcBorders>
              <w:top w:val="single" w:sz="4" w:space="0" w:color="auto"/>
              <w:left w:val="nil"/>
              <w:bottom w:val="double" w:sz="4" w:space="0" w:color="auto"/>
              <w:right w:val="nil"/>
            </w:tcBorders>
            <w:vAlign w:val="center"/>
          </w:tcPr>
          <w:p w:rsidR="004B417C" w:rsidRPr="00B326D3"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 w:val="20"/>
                <w:lang w:val="el-GR"/>
              </w:rPr>
            </w:pPr>
            <w:r w:rsidRPr="00B326D3">
              <w:rPr>
                <w:b/>
                <w:sz w:val="20"/>
                <w:lang w:val="el-GR"/>
              </w:rPr>
              <w:t>2.296</w:t>
            </w:r>
          </w:p>
        </w:tc>
        <w:tc>
          <w:tcPr>
            <w:tcW w:w="508" w:type="dxa"/>
            <w:tcBorders>
              <w:top w:val="single" w:sz="4" w:space="0" w:color="auto"/>
              <w:left w:val="nil"/>
              <w:bottom w:val="double" w:sz="4" w:space="0" w:color="auto"/>
              <w:right w:val="nil"/>
            </w:tcBorders>
            <w:vAlign w:val="center"/>
          </w:tcPr>
          <w:p w:rsidR="004B417C" w:rsidRPr="00B326D3"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 w:val="20"/>
                <w:lang w:val="el-GR"/>
              </w:rPr>
            </w:pPr>
            <w:r w:rsidRPr="00B326D3">
              <w:rPr>
                <w:b/>
                <w:sz w:val="20"/>
                <w:lang w:val="el-GR"/>
              </w:rPr>
              <w:t>-</w:t>
            </w:r>
          </w:p>
        </w:tc>
        <w:tc>
          <w:tcPr>
            <w:tcW w:w="719" w:type="dxa"/>
            <w:tcBorders>
              <w:top w:val="single" w:sz="4" w:space="0" w:color="auto"/>
              <w:left w:val="nil"/>
              <w:bottom w:val="double" w:sz="4" w:space="0" w:color="auto"/>
              <w:right w:val="nil"/>
            </w:tcBorders>
            <w:vAlign w:val="center"/>
          </w:tcPr>
          <w:p w:rsidR="004B417C" w:rsidRPr="00B326D3"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 w:val="20"/>
                <w:lang w:val="el-GR"/>
              </w:rPr>
            </w:pPr>
            <w:r w:rsidRPr="00B326D3">
              <w:rPr>
                <w:b/>
                <w:sz w:val="20"/>
                <w:lang w:val="el-GR"/>
              </w:rPr>
              <w:t>-</w:t>
            </w:r>
          </w:p>
        </w:tc>
        <w:tc>
          <w:tcPr>
            <w:tcW w:w="1063" w:type="dxa"/>
            <w:tcBorders>
              <w:top w:val="single" w:sz="4" w:space="0" w:color="auto"/>
              <w:left w:val="nil"/>
              <w:bottom w:val="double" w:sz="4" w:space="0" w:color="auto"/>
              <w:right w:val="nil"/>
            </w:tcBorders>
            <w:vAlign w:val="center"/>
          </w:tcPr>
          <w:p w:rsidR="004B417C" w:rsidRPr="00B326D3"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 w:val="20"/>
                <w:lang w:val="el-GR"/>
              </w:rPr>
            </w:pPr>
            <w:r w:rsidRPr="00B326D3">
              <w:rPr>
                <w:b/>
                <w:sz w:val="20"/>
                <w:lang w:val="el-GR"/>
              </w:rPr>
              <w:t>387</w:t>
            </w:r>
          </w:p>
        </w:tc>
        <w:tc>
          <w:tcPr>
            <w:tcW w:w="1215" w:type="dxa"/>
            <w:tcBorders>
              <w:top w:val="single" w:sz="4" w:space="0" w:color="auto"/>
              <w:left w:val="nil"/>
              <w:bottom w:val="double" w:sz="4" w:space="0" w:color="auto"/>
              <w:right w:val="nil"/>
            </w:tcBorders>
            <w:vAlign w:val="center"/>
          </w:tcPr>
          <w:p w:rsidR="004B417C" w:rsidRPr="00B326D3"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 w:val="20"/>
                <w:lang w:val="el-GR"/>
              </w:rPr>
            </w:pPr>
            <w:r w:rsidRPr="00B326D3">
              <w:rPr>
                <w:b/>
                <w:sz w:val="20"/>
                <w:lang w:val="el-GR"/>
              </w:rPr>
              <w:t>311.276</w:t>
            </w:r>
          </w:p>
        </w:tc>
      </w:tr>
      <w:tr w:rsidR="004B417C" w:rsidRPr="00B326D3" w:rsidTr="005F45F3">
        <w:trPr>
          <w:trHeight w:val="284"/>
        </w:trPr>
        <w:tc>
          <w:tcPr>
            <w:tcW w:w="1980" w:type="dxa"/>
            <w:tcBorders>
              <w:left w:val="nil"/>
              <w:right w:val="nil"/>
            </w:tcBorders>
            <w:noWrap/>
            <w:vAlign w:val="center"/>
          </w:tcPr>
          <w:p w:rsidR="004B417C" w:rsidRPr="00B326D3"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ind w:firstLine="252"/>
              <w:rPr>
                <w:b/>
                <w:sz w:val="20"/>
                <w:lang w:val="el-GR"/>
              </w:rPr>
            </w:pPr>
          </w:p>
        </w:tc>
        <w:tc>
          <w:tcPr>
            <w:tcW w:w="1080" w:type="dxa"/>
            <w:tcBorders>
              <w:top w:val="double" w:sz="4" w:space="0" w:color="auto"/>
              <w:left w:val="nil"/>
              <w:right w:val="nil"/>
            </w:tcBorders>
            <w:vAlign w:val="center"/>
          </w:tcPr>
          <w:p w:rsidR="004B417C" w:rsidRPr="00B326D3"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119" w:type="dxa"/>
            <w:tcBorders>
              <w:top w:val="double" w:sz="4" w:space="0" w:color="auto"/>
              <w:left w:val="nil"/>
              <w:right w:val="nil"/>
            </w:tcBorders>
            <w:vAlign w:val="center"/>
          </w:tcPr>
          <w:p w:rsidR="004B417C" w:rsidRPr="00B326D3"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136" w:type="dxa"/>
            <w:tcBorders>
              <w:top w:val="double" w:sz="4" w:space="0" w:color="auto"/>
              <w:left w:val="nil"/>
              <w:right w:val="nil"/>
            </w:tcBorders>
            <w:vAlign w:val="center"/>
          </w:tcPr>
          <w:p w:rsidR="004B417C" w:rsidRPr="00B326D3"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508" w:type="dxa"/>
            <w:tcBorders>
              <w:top w:val="double" w:sz="4" w:space="0" w:color="auto"/>
              <w:left w:val="nil"/>
              <w:right w:val="nil"/>
            </w:tcBorders>
            <w:vAlign w:val="center"/>
          </w:tcPr>
          <w:p w:rsidR="004B417C" w:rsidRPr="00B326D3"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719" w:type="dxa"/>
            <w:tcBorders>
              <w:top w:val="double" w:sz="4" w:space="0" w:color="auto"/>
              <w:left w:val="nil"/>
              <w:right w:val="nil"/>
            </w:tcBorders>
            <w:vAlign w:val="center"/>
          </w:tcPr>
          <w:p w:rsidR="004B417C" w:rsidRPr="00B326D3"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063" w:type="dxa"/>
            <w:tcBorders>
              <w:top w:val="double" w:sz="4" w:space="0" w:color="auto"/>
              <w:left w:val="nil"/>
              <w:right w:val="nil"/>
            </w:tcBorders>
            <w:vAlign w:val="center"/>
          </w:tcPr>
          <w:p w:rsidR="004B417C" w:rsidRPr="00B326D3"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215" w:type="dxa"/>
            <w:tcBorders>
              <w:top w:val="double" w:sz="4" w:space="0" w:color="auto"/>
              <w:left w:val="nil"/>
              <w:right w:val="nil"/>
            </w:tcBorders>
            <w:vAlign w:val="center"/>
          </w:tcPr>
          <w:p w:rsidR="004B417C" w:rsidRPr="00B326D3"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r>
      <w:tr w:rsidR="004B417C" w:rsidRPr="00B326D3" w:rsidTr="005F45F3">
        <w:trPr>
          <w:trHeight w:val="284"/>
        </w:trPr>
        <w:tc>
          <w:tcPr>
            <w:tcW w:w="1980" w:type="dxa"/>
            <w:tcBorders>
              <w:left w:val="nil"/>
              <w:right w:val="nil"/>
            </w:tcBorders>
            <w:noWrap/>
            <w:vAlign w:val="center"/>
          </w:tcPr>
          <w:p w:rsidR="004B417C" w:rsidRPr="00B326D3"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b/>
                <w:sz w:val="20"/>
                <w:lang w:val="el-GR"/>
              </w:rPr>
            </w:pPr>
            <w:r w:rsidRPr="00B326D3">
              <w:rPr>
                <w:b/>
                <w:sz w:val="20"/>
                <w:lang w:val="el-GR"/>
              </w:rPr>
              <w:t>ΠΑΘΗΤΙΚΟ</w:t>
            </w:r>
          </w:p>
        </w:tc>
        <w:tc>
          <w:tcPr>
            <w:tcW w:w="1080" w:type="dxa"/>
            <w:tcBorders>
              <w:left w:val="nil"/>
              <w:right w:val="nil"/>
            </w:tcBorders>
            <w:vAlign w:val="center"/>
          </w:tcPr>
          <w:p w:rsidR="004B417C" w:rsidRPr="00B326D3"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119" w:type="dxa"/>
            <w:tcBorders>
              <w:left w:val="nil"/>
              <w:right w:val="nil"/>
            </w:tcBorders>
            <w:vAlign w:val="center"/>
          </w:tcPr>
          <w:p w:rsidR="004B417C" w:rsidRPr="00B326D3"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136" w:type="dxa"/>
            <w:tcBorders>
              <w:left w:val="nil"/>
              <w:right w:val="nil"/>
            </w:tcBorders>
            <w:vAlign w:val="center"/>
          </w:tcPr>
          <w:p w:rsidR="004B417C" w:rsidRPr="00B326D3"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508" w:type="dxa"/>
            <w:tcBorders>
              <w:left w:val="nil"/>
              <w:right w:val="nil"/>
            </w:tcBorders>
            <w:vAlign w:val="center"/>
          </w:tcPr>
          <w:p w:rsidR="004B417C" w:rsidRPr="00B326D3"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719" w:type="dxa"/>
            <w:tcBorders>
              <w:left w:val="nil"/>
              <w:right w:val="nil"/>
            </w:tcBorders>
            <w:vAlign w:val="center"/>
          </w:tcPr>
          <w:p w:rsidR="004B417C" w:rsidRPr="00B326D3"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063" w:type="dxa"/>
            <w:tcBorders>
              <w:left w:val="nil"/>
              <w:right w:val="nil"/>
            </w:tcBorders>
            <w:vAlign w:val="center"/>
          </w:tcPr>
          <w:p w:rsidR="004B417C" w:rsidRPr="00B326D3"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215" w:type="dxa"/>
            <w:tcBorders>
              <w:left w:val="nil"/>
              <w:right w:val="nil"/>
            </w:tcBorders>
            <w:vAlign w:val="center"/>
          </w:tcPr>
          <w:p w:rsidR="004B417C" w:rsidRPr="00B326D3"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r>
      <w:tr w:rsidR="004B417C" w:rsidRPr="00B326D3" w:rsidTr="005F45F3">
        <w:trPr>
          <w:trHeight w:hRule="exact" w:val="579"/>
        </w:trPr>
        <w:tc>
          <w:tcPr>
            <w:tcW w:w="1980" w:type="dxa"/>
            <w:tcBorders>
              <w:left w:val="nil"/>
              <w:right w:val="nil"/>
            </w:tcBorders>
            <w:noWrap/>
            <w:vAlign w:val="center"/>
          </w:tcPr>
          <w:p w:rsidR="004B417C" w:rsidRPr="00B326D3"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sz w:val="20"/>
                <w:lang w:val="el-GR"/>
              </w:rPr>
            </w:pPr>
            <w:r w:rsidRPr="00B326D3">
              <w:rPr>
                <w:sz w:val="20"/>
                <w:lang w:val="el-GR"/>
              </w:rPr>
              <w:t>Ομολογιακά Δάνεια</w:t>
            </w:r>
          </w:p>
        </w:tc>
        <w:tc>
          <w:tcPr>
            <w:tcW w:w="1080" w:type="dxa"/>
            <w:tcBorders>
              <w:left w:val="nil"/>
              <w:bottom w:val="single" w:sz="4" w:space="0" w:color="auto"/>
              <w:right w:val="nil"/>
            </w:tcBorders>
            <w:vAlign w:val="center"/>
          </w:tcPr>
          <w:p w:rsidR="004B417C" w:rsidRPr="00B326D3"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r w:rsidRPr="00B326D3">
              <w:rPr>
                <w:sz w:val="20"/>
                <w:lang w:val="el-GR"/>
              </w:rPr>
              <w:t>-</w:t>
            </w:r>
          </w:p>
        </w:tc>
        <w:tc>
          <w:tcPr>
            <w:tcW w:w="1119" w:type="dxa"/>
            <w:tcBorders>
              <w:left w:val="nil"/>
              <w:bottom w:val="single" w:sz="4" w:space="0" w:color="auto"/>
              <w:right w:val="nil"/>
            </w:tcBorders>
            <w:vAlign w:val="center"/>
          </w:tcPr>
          <w:p w:rsidR="004B417C" w:rsidRPr="00B326D3"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r w:rsidRPr="00B326D3">
              <w:rPr>
                <w:sz w:val="20"/>
                <w:lang w:val="el-GR"/>
              </w:rPr>
              <w:t>-</w:t>
            </w:r>
          </w:p>
        </w:tc>
        <w:tc>
          <w:tcPr>
            <w:tcW w:w="1136" w:type="dxa"/>
            <w:tcBorders>
              <w:left w:val="nil"/>
              <w:bottom w:val="single" w:sz="4" w:space="0" w:color="auto"/>
              <w:right w:val="nil"/>
            </w:tcBorders>
            <w:vAlign w:val="center"/>
          </w:tcPr>
          <w:p w:rsidR="004B417C" w:rsidRPr="00B326D3"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r w:rsidRPr="00B326D3">
              <w:rPr>
                <w:sz w:val="20"/>
                <w:lang w:val="el-GR"/>
              </w:rPr>
              <w:t>386.489</w:t>
            </w:r>
          </w:p>
        </w:tc>
        <w:tc>
          <w:tcPr>
            <w:tcW w:w="508" w:type="dxa"/>
            <w:tcBorders>
              <w:left w:val="nil"/>
              <w:bottom w:val="single" w:sz="4" w:space="0" w:color="auto"/>
              <w:right w:val="nil"/>
            </w:tcBorders>
            <w:vAlign w:val="center"/>
          </w:tcPr>
          <w:p w:rsidR="004B417C" w:rsidRPr="00B326D3"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r w:rsidRPr="00B326D3">
              <w:rPr>
                <w:sz w:val="20"/>
                <w:lang w:val="el-GR"/>
              </w:rPr>
              <w:t>-</w:t>
            </w:r>
          </w:p>
        </w:tc>
        <w:tc>
          <w:tcPr>
            <w:tcW w:w="719" w:type="dxa"/>
            <w:tcBorders>
              <w:left w:val="nil"/>
              <w:bottom w:val="single" w:sz="4" w:space="0" w:color="auto"/>
              <w:right w:val="nil"/>
            </w:tcBorders>
            <w:vAlign w:val="center"/>
          </w:tcPr>
          <w:p w:rsidR="004B417C" w:rsidRPr="00B326D3"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r w:rsidRPr="00B326D3">
              <w:rPr>
                <w:sz w:val="20"/>
                <w:lang w:val="el-GR"/>
              </w:rPr>
              <w:t>-</w:t>
            </w:r>
          </w:p>
        </w:tc>
        <w:tc>
          <w:tcPr>
            <w:tcW w:w="1063" w:type="dxa"/>
            <w:tcBorders>
              <w:left w:val="nil"/>
              <w:bottom w:val="single" w:sz="4" w:space="0" w:color="auto"/>
              <w:right w:val="nil"/>
            </w:tcBorders>
            <w:vAlign w:val="center"/>
          </w:tcPr>
          <w:p w:rsidR="004B417C" w:rsidRPr="00B326D3"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r w:rsidRPr="00B326D3">
              <w:rPr>
                <w:sz w:val="20"/>
                <w:lang w:val="el-GR"/>
              </w:rPr>
              <w:t>-</w:t>
            </w:r>
          </w:p>
        </w:tc>
        <w:tc>
          <w:tcPr>
            <w:tcW w:w="1215" w:type="dxa"/>
            <w:tcBorders>
              <w:left w:val="nil"/>
              <w:bottom w:val="single" w:sz="4" w:space="0" w:color="auto"/>
              <w:right w:val="nil"/>
            </w:tcBorders>
            <w:vAlign w:val="center"/>
          </w:tcPr>
          <w:p w:rsidR="004B417C" w:rsidRPr="00B326D3"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r w:rsidRPr="00B326D3">
              <w:rPr>
                <w:sz w:val="20"/>
                <w:lang w:val="el-GR"/>
              </w:rPr>
              <w:t>386.489</w:t>
            </w:r>
          </w:p>
        </w:tc>
      </w:tr>
      <w:tr w:rsidR="004B417C" w:rsidRPr="00B326D3" w:rsidTr="005F45F3">
        <w:trPr>
          <w:trHeight w:val="375"/>
        </w:trPr>
        <w:tc>
          <w:tcPr>
            <w:tcW w:w="1980" w:type="dxa"/>
            <w:tcBorders>
              <w:left w:val="nil"/>
              <w:right w:val="nil"/>
            </w:tcBorders>
            <w:noWrap/>
            <w:vAlign w:val="center"/>
          </w:tcPr>
          <w:p w:rsidR="004B417C" w:rsidRPr="00B326D3"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sz w:val="20"/>
                <w:lang w:val="el-GR"/>
              </w:rPr>
            </w:pPr>
            <w:r w:rsidRPr="00B326D3">
              <w:rPr>
                <w:b/>
                <w:sz w:val="20"/>
                <w:lang w:val="el-GR"/>
              </w:rPr>
              <w:t>Σύνολα 31.12.20</w:t>
            </w:r>
            <w:r w:rsidRPr="00B326D3">
              <w:rPr>
                <w:b/>
                <w:sz w:val="20"/>
              </w:rPr>
              <w:t>1</w:t>
            </w:r>
            <w:r w:rsidRPr="00B326D3">
              <w:rPr>
                <w:b/>
                <w:sz w:val="20"/>
                <w:lang w:val="el-GR"/>
              </w:rPr>
              <w:t>2</w:t>
            </w:r>
          </w:p>
        </w:tc>
        <w:tc>
          <w:tcPr>
            <w:tcW w:w="1080" w:type="dxa"/>
            <w:tcBorders>
              <w:top w:val="single" w:sz="4" w:space="0" w:color="auto"/>
              <w:left w:val="nil"/>
              <w:bottom w:val="double" w:sz="4" w:space="0" w:color="auto"/>
              <w:right w:val="nil"/>
            </w:tcBorders>
            <w:vAlign w:val="center"/>
          </w:tcPr>
          <w:p w:rsidR="004B417C" w:rsidRPr="00B326D3"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 w:val="20"/>
              </w:rPr>
            </w:pPr>
            <w:r w:rsidRPr="00B326D3">
              <w:rPr>
                <w:b/>
                <w:sz w:val="20"/>
              </w:rPr>
              <w:t>-</w:t>
            </w:r>
          </w:p>
        </w:tc>
        <w:tc>
          <w:tcPr>
            <w:tcW w:w="1119" w:type="dxa"/>
            <w:tcBorders>
              <w:top w:val="single" w:sz="4" w:space="0" w:color="auto"/>
              <w:left w:val="nil"/>
              <w:bottom w:val="double" w:sz="4" w:space="0" w:color="auto"/>
              <w:right w:val="nil"/>
            </w:tcBorders>
            <w:vAlign w:val="center"/>
          </w:tcPr>
          <w:p w:rsidR="004B417C" w:rsidRPr="00B326D3"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 w:val="20"/>
              </w:rPr>
            </w:pPr>
            <w:r w:rsidRPr="00B326D3">
              <w:rPr>
                <w:b/>
                <w:sz w:val="20"/>
              </w:rPr>
              <w:t>-</w:t>
            </w:r>
          </w:p>
        </w:tc>
        <w:tc>
          <w:tcPr>
            <w:tcW w:w="1136" w:type="dxa"/>
            <w:tcBorders>
              <w:top w:val="single" w:sz="4" w:space="0" w:color="auto"/>
              <w:left w:val="nil"/>
              <w:bottom w:val="double" w:sz="4" w:space="0" w:color="auto"/>
              <w:right w:val="nil"/>
            </w:tcBorders>
            <w:vAlign w:val="center"/>
          </w:tcPr>
          <w:p w:rsidR="004B417C" w:rsidRPr="00B326D3"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 w:val="20"/>
                <w:lang w:val="el-GR"/>
              </w:rPr>
            </w:pPr>
            <w:r w:rsidRPr="00B326D3">
              <w:rPr>
                <w:b/>
                <w:sz w:val="20"/>
                <w:lang w:val="el-GR"/>
              </w:rPr>
              <w:t>386.489</w:t>
            </w:r>
          </w:p>
        </w:tc>
        <w:tc>
          <w:tcPr>
            <w:tcW w:w="508" w:type="dxa"/>
            <w:tcBorders>
              <w:top w:val="single" w:sz="4" w:space="0" w:color="auto"/>
              <w:left w:val="nil"/>
              <w:bottom w:val="double" w:sz="4" w:space="0" w:color="auto"/>
              <w:right w:val="nil"/>
            </w:tcBorders>
            <w:vAlign w:val="center"/>
          </w:tcPr>
          <w:p w:rsidR="004B417C" w:rsidRPr="00B326D3"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 w:val="20"/>
              </w:rPr>
            </w:pPr>
            <w:r w:rsidRPr="00B326D3">
              <w:rPr>
                <w:b/>
                <w:sz w:val="20"/>
              </w:rPr>
              <w:t>-</w:t>
            </w:r>
          </w:p>
        </w:tc>
        <w:tc>
          <w:tcPr>
            <w:tcW w:w="719" w:type="dxa"/>
            <w:tcBorders>
              <w:top w:val="single" w:sz="4" w:space="0" w:color="auto"/>
              <w:left w:val="nil"/>
              <w:bottom w:val="double" w:sz="4" w:space="0" w:color="auto"/>
              <w:right w:val="nil"/>
            </w:tcBorders>
            <w:vAlign w:val="center"/>
          </w:tcPr>
          <w:p w:rsidR="004B417C" w:rsidRPr="00B326D3"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 w:val="20"/>
              </w:rPr>
            </w:pPr>
            <w:r w:rsidRPr="00B326D3">
              <w:rPr>
                <w:b/>
                <w:sz w:val="20"/>
              </w:rPr>
              <w:t>-</w:t>
            </w:r>
          </w:p>
        </w:tc>
        <w:tc>
          <w:tcPr>
            <w:tcW w:w="1063" w:type="dxa"/>
            <w:tcBorders>
              <w:top w:val="single" w:sz="4" w:space="0" w:color="auto"/>
              <w:left w:val="nil"/>
              <w:bottom w:val="double" w:sz="4" w:space="0" w:color="auto"/>
              <w:right w:val="nil"/>
            </w:tcBorders>
            <w:vAlign w:val="center"/>
          </w:tcPr>
          <w:p w:rsidR="004B417C" w:rsidRPr="00B326D3"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 w:val="20"/>
              </w:rPr>
            </w:pPr>
            <w:r w:rsidRPr="00B326D3">
              <w:rPr>
                <w:b/>
                <w:sz w:val="20"/>
              </w:rPr>
              <w:t>-</w:t>
            </w:r>
          </w:p>
        </w:tc>
        <w:tc>
          <w:tcPr>
            <w:tcW w:w="1215" w:type="dxa"/>
            <w:tcBorders>
              <w:top w:val="single" w:sz="4" w:space="0" w:color="auto"/>
              <w:left w:val="nil"/>
              <w:bottom w:val="double" w:sz="4" w:space="0" w:color="auto"/>
              <w:right w:val="nil"/>
            </w:tcBorders>
            <w:vAlign w:val="center"/>
          </w:tcPr>
          <w:p w:rsidR="004B417C" w:rsidRPr="00B326D3"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 w:val="20"/>
                <w:lang w:val="el-GR"/>
              </w:rPr>
            </w:pPr>
            <w:r w:rsidRPr="00B326D3">
              <w:rPr>
                <w:b/>
                <w:sz w:val="20"/>
                <w:lang w:val="el-GR"/>
              </w:rPr>
              <w:t>386.489</w:t>
            </w:r>
          </w:p>
        </w:tc>
      </w:tr>
      <w:tr w:rsidR="004B417C" w:rsidRPr="00B326D3" w:rsidTr="005F45F3">
        <w:trPr>
          <w:trHeight w:hRule="exact" w:val="113"/>
        </w:trPr>
        <w:tc>
          <w:tcPr>
            <w:tcW w:w="1980" w:type="dxa"/>
            <w:tcBorders>
              <w:left w:val="nil"/>
              <w:right w:val="nil"/>
            </w:tcBorders>
            <w:noWrap/>
            <w:vAlign w:val="center"/>
          </w:tcPr>
          <w:p w:rsidR="004B417C" w:rsidRPr="00B326D3"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b/>
                <w:sz w:val="20"/>
                <w:lang w:val="el-GR"/>
              </w:rPr>
            </w:pPr>
          </w:p>
        </w:tc>
        <w:tc>
          <w:tcPr>
            <w:tcW w:w="1080" w:type="dxa"/>
            <w:tcBorders>
              <w:top w:val="double" w:sz="4" w:space="0" w:color="auto"/>
              <w:left w:val="nil"/>
              <w:bottom w:val="single" w:sz="4" w:space="0" w:color="auto"/>
              <w:right w:val="nil"/>
            </w:tcBorders>
            <w:vAlign w:val="center"/>
          </w:tcPr>
          <w:p w:rsidR="004B417C" w:rsidRPr="00B326D3"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 w:val="20"/>
                <w:lang w:val="el-GR"/>
              </w:rPr>
            </w:pPr>
          </w:p>
        </w:tc>
        <w:tc>
          <w:tcPr>
            <w:tcW w:w="1119" w:type="dxa"/>
            <w:tcBorders>
              <w:top w:val="double" w:sz="4" w:space="0" w:color="auto"/>
              <w:left w:val="nil"/>
              <w:bottom w:val="single" w:sz="4" w:space="0" w:color="auto"/>
              <w:right w:val="nil"/>
            </w:tcBorders>
            <w:vAlign w:val="center"/>
          </w:tcPr>
          <w:p w:rsidR="004B417C" w:rsidRPr="00B326D3"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 w:val="20"/>
                <w:lang w:val="el-GR"/>
              </w:rPr>
            </w:pPr>
          </w:p>
        </w:tc>
        <w:tc>
          <w:tcPr>
            <w:tcW w:w="1136" w:type="dxa"/>
            <w:tcBorders>
              <w:top w:val="double" w:sz="4" w:space="0" w:color="auto"/>
              <w:left w:val="nil"/>
              <w:bottom w:val="single" w:sz="4" w:space="0" w:color="auto"/>
              <w:right w:val="nil"/>
            </w:tcBorders>
            <w:vAlign w:val="center"/>
          </w:tcPr>
          <w:p w:rsidR="004B417C" w:rsidRPr="00B326D3"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 w:val="20"/>
                <w:lang w:val="el-GR"/>
              </w:rPr>
            </w:pPr>
          </w:p>
        </w:tc>
        <w:tc>
          <w:tcPr>
            <w:tcW w:w="508" w:type="dxa"/>
            <w:tcBorders>
              <w:top w:val="double" w:sz="4" w:space="0" w:color="auto"/>
              <w:left w:val="nil"/>
              <w:bottom w:val="single" w:sz="4" w:space="0" w:color="auto"/>
              <w:right w:val="nil"/>
            </w:tcBorders>
            <w:vAlign w:val="center"/>
          </w:tcPr>
          <w:p w:rsidR="004B417C" w:rsidRPr="00B326D3"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 w:val="20"/>
                <w:lang w:val="el-GR"/>
              </w:rPr>
            </w:pPr>
          </w:p>
        </w:tc>
        <w:tc>
          <w:tcPr>
            <w:tcW w:w="719" w:type="dxa"/>
            <w:tcBorders>
              <w:top w:val="double" w:sz="4" w:space="0" w:color="auto"/>
              <w:left w:val="nil"/>
              <w:bottom w:val="single" w:sz="4" w:space="0" w:color="auto"/>
              <w:right w:val="nil"/>
            </w:tcBorders>
            <w:vAlign w:val="center"/>
          </w:tcPr>
          <w:p w:rsidR="004B417C" w:rsidRPr="00B326D3"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 w:val="20"/>
                <w:lang w:val="el-GR"/>
              </w:rPr>
            </w:pPr>
          </w:p>
        </w:tc>
        <w:tc>
          <w:tcPr>
            <w:tcW w:w="1063" w:type="dxa"/>
            <w:tcBorders>
              <w:top w:val="double" w:sz="4" w:space="0" w:color="auto"/>
              <w:left w:val="nil"/>
              <w:bottom w:val="single" w:sz="4" w:space="0" w:color="auto"/>
              <w:right w:val="nil"/>
            </w:tcBorders>
            <w:vAlign w:val="center"/>
          </w:tcPr>
          <w:p w:rsidR="004B417C" w:rsidRPr="00B326D3"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 w:val="20"/>
                <w:lang w:val="el-GR"/>
              </w:rPr>
            </w:pPr>
          </w:p>
        </w:tc>
        <w:tc>
          <w:tcPr>
            <w:tcW w:w="1215" w:type="dxa"/>
            <w:tcBorders>
              <w:top w:val="double" w:sz="4" w:space="0" w:color="auto"/>
              <w:left w:val="nil"/>
              <w:bottom w:val="single" w:sz="4" w:space="0" w:color="auto"/>
              <w:right w:val="nil"/>
            </w:tcBorders>
            <w:vAlign w:val="center"/>
          </w:tcPr>
          <w:p w:rsidR="004B417C" w:rsidRPr="00B326D3"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 w:val="20"/>
                <w:lang w:val="el-GR"/>
              </w:rPr>
            </w:pPr>
          </w:p>
        </w:tc>
      </w:tr>
      <w:tr w:rsidR="004B417C" w:rsidRPr="00B326D3" w:rsidTr="005F45F3">
        <w:trPr>
          <w:trHeight w:val="284"/>
        </w:trPr>
        <w:tc>
          <w:tcPr>
            <w:tcW w:w="1980" w:type="dxa"/>
            <w:tcBorders>
              <w:left w:val="nil"/>
              <w:right w:val="nil"/>
            </w:tcBorders>
            <w:noWrap/>
            <w:vAlign w:val="center"/>
          </w:tcPr>
          <w:p w:rsidR="004B417C" w:rsidRPr="00B326D3"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sz w:val="20"/>
                <w:lang w:val="el-GR"/>
              </w:rPr>
            </w:pPr>
            <w:r w:rsidRPr="00B326D3">
              <w:rPr>
                <w:b/>
                <w:sz w:val="20"/>
                <w:lang w:val="el-GR"/>
              </w:rPr>
              <w:t>Σύνολα 31.12.20</w:t>
            </w:r>
            <w:r w:rsidRPr="00B326D3">
              <w:rPr>
                <w:b/>
                <w:sz w:val="20"/>
              </w:rPr>
              <w:t>1</w:t>
            </w:r>
            <w:r w:rsidRPr="00B326D3">
              <w:rPr>
                <w:b/>
                <w:sz w:val="20"/>
                <w:lang w:val="el-GR"/>
              </w:rPr>
              <w:t>1</w:t>
            </w:r>
          </w:p>
        </w:tc>
        <w:tc>
          <w:tcPr>
            <w:tcW w:w="1080" w:type="dxa"/>
            <w:tcBorders>
              <w:top w:val="single" w:sz="4" w:space="0" w:color="auto"/>
              <w:left w:val="nil"/>
              <w:bottom w:val="double" w:sz="4" w:space="0" w:color="auto"/>
              <w:right w:val="nil"/>
            </w:tcBorders>
            <w:vAlign w:val="center"/>
          </w:tcPr>
          <w:p w:rsidR="004B417C" w:rsidRPr="00B326D3"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 w:val="20"/>
                <w:lang w:val="el-GR"/>
              </w:rPr>
            </w:pPr>
            <w:r w:rsidRPr="00B326D3">
              <w:rPr>
                <w:b/>
                <w:sz w:val="20"/>
                <w:lang w:val="el-GR"/>
              </w:rPr>
              <w:t>-</w:t>
            </w:r>
          </w:p>
        </w:tc>
        <w:tc>
          <w:tcPr>
            <w:tcW w:w="1119" w:type="dxa"/>
            <w:tcBorders>
              <w:top w:val="single" w:sz="4" w:space="0" w:color="auto"/>
              <w:left w:val="nil"/>
              <w:bottom w:val="double" w:sz="4" w:space="0" w:color="auto"/>
              <w:right w:val="nil"/>
            </w:tcBorders>
            <w:vAlign w:val="center"/>
          </w:tcPr>
          <w:p w:rsidR="004B417C" w:rsidRPr="00B326D3"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 w:val="20"/>
                <w:lang w:val="el-GR"/>
              </w:rPr>
            </w:pPr>
            <w:r w:rsidRPr="00B326D3">
              <w:rPr>
                <w:b/>
                <w:sz w:val="20"/>
                <w:lang w:val="el-GR"/>
              </w:rPr>
              <w:t>-</w:t>
            </w:r>
          </w:p>
        </w:tc>
        <w:tc>
          <w:tcPr>
            <w:tcW w:w="1136" w:type="dxa"/>
            <w:tcBorders>
              <w:top w:val="single" w:sz="4" w:space="0" w:color="auto"/>
              <w:left w:val="nil"/>
              <w:bottom w:val="double" w:sz="4" w:space="0" w:color="auto"/>
              <w:right w:val="nil"/>
            </w:tcBorders>
            <w:vAlign w:val="center"/>
          </w:tcPr>
          <w:p w:rsidR="004B417C" w:rsidRPr="00B326D3"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 w:val="20"/>
                <w:lang w:val="el-GR"/>
              </w:rPr>
            </w:pPr>
            <w:r w:rsidRPr="00B326D3">
              <w:rPr>
                <w:b/>
                <w:sz w:val="20"/>
                <w:lang w:val="el-GR"/>
              </w:rPr>
              <w:t>430.626</w:t>
            </w:r>
          </w:p>
        </w:tc>
        <w:tc>
          <w:tcPr>
            <w:tcW w:w="508" w:type="dxa"/>
            <w:tcBorders>
              <w:top w:val="single" w:sz="4" w:space="0" w:color="auto"/>
              <w:left w:val="nil"/>
              <w:bottom w:val="double" w:sz="4" w:space="0" w:color="auto"/>
              <w:right w:val="nil"/>
            </w:tcBorders>
            <w:vAlign w:val="center"/>
          </w:tcPr>
          <w:p w:rsidR="004B417C" w:rsidRPr="00B326D3"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 w:val="20"/>
                <w:lang w:val="el-GR"/>
              </w:rPr>
            </w:pPr>
            <w:r w:rsidRPr="00B326D3">
              <w:rPr>
                <w:b/>
                <w:sz w:val="20"/>
                <w:lang w:val="el-GR"/>
              </w:rPr>
              <w:t>-</w:t>
            </w:r>
          </w:p>
        </w:tc>
        <w:tc>
          <w:tcPr>
            <w:tcW w:w="719" w:type="dxa"/>
            <w:tcBorders>
              <w:top w:val="single" w:sz="4" w:space="0" w:color="auto"/>
              <w:left w:val="nil"/>
              <w:bottom w:val="double" w:sz="4" w:space="0" w:color="auto"/>
              <w:right w:val="nil"/>
            </w:tcBorders>
            <w:vAlign w:val="center"/>
          </w:tcPr>
          <w:p w:rsidR="004B417C" w:rsidRPr="00B326D3"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 w:val="20"/>
                <w:lang w:val="el-GR"/>
              </w:rPr>
            </w:pPr>
            <w:r w:rsidRPr="00B326D3">
              <w:rPr>
                <w:b/>
                <w:sz w:val="20"/>
                <w:lang w:val="el-GR"/>
              </w:rPr>
              <w:t>-</w:t>
            </w:r>
          </w:p>
        </w:tc>
        <w:tc>
          <w:tcPr>
            <w:tcW w:w="1063" w:type="dxa"/>
            <w:tcBorders>
              <w:top w:val="single" w:sz="4" w:space="0" w:color="auto"/>
              <w:left w:val="nil"/>
              <w:bottom w:val="double" w:sz="4" w:space="0" w:color="auto"/>
              <w:right w:val="nil"/>
            </w:tcBorders>
            <w:vAlign w:val="center"/>
          </w:tcPr>
          <w:p w:rsidR="004B417C" w:rsidRPr="00B326D3"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 w:val="20"/>
                <w:lang w:val="el-GR"/>
              </w:rPr>
            </w:pPr>
            <w:r w:rsidRPr="00B326D3">
              <w:rPr>
                <w:b/>
                <w:sz w:val="20"/>
                <w:lang w:val="el-GR"/>
              </w:rPr>
              <w:t>-</w:t>
            </w:r>
          </w:p>
        </w:tc>
        <w:tc>
          <w:tcPr>
            <w:tcW w:w="1215" w:type="dxa"/>
            <w:tcBorders>
              <w:top w:val="single" w:sz="4" w:space="0" w:color="auto"/>
              <w:left w:val="nil"/>
              <w:bottom w:val="double" w:sz="4" w:space="0" w:color="auto"/>
              <w:right w:val="nil"/>
            </w:tcBorders>
            <w:vAlign w:val="center"/>
          </w:tcPr>
          <w:p w:rsidR="004B417C" w:rsidRPr="00B326D3"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 w:val="20"/>
                <w:lang w:val="el-GR"/>
              </w:rPr>
            </w:pPr>
            <w:r w:rsidRPr="00B326D3">
              <w:rPr>
                <w:b/>
                <w:sz w:val="20"/>
                <w:lang w:val="el-GR"/>
              </w:rPr>
              <w:t>430.626</w:t>
            </w:r>
          </w:p>
        </w:tc>
      </w:tr>
      <w:tr w:rsidR="004B417C" w:rsidRPr="00B326D3" w:rsidTr="005F45F3">
        <w:trPr>
          <w:trHeight w:val="284"/>
        </w:trPr>
        <w:tc>
          <w:tcPr>
            <w:tcW w:w="1980" w:type="dxa"/>
            <w:tcBorders>
              <w:left w:val="nil"/>
              <w:right w:val="nil"/>
            </w:tcBorders>
            <w:noWrap/>
            <w:vAlign w:val="center"/>
          </w:tcPr>
          <w:p w:rsidR="004B417C" w:rsidRPr="00B326D3"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b/>
                <w:sz w:val="20"/>
                <w:lang w:val="el-GR"/>
              </w:rPr>
            </w:pPr>
          </w:p>
        </w:tc>
        <w:tc>
          <w:tcPr>
            <w:tcW w:w="1080" w:type="dxa"/>
            <w:tcBorders>
              <w:top w:val="double" w:sz="4" w:space="0" w:color="auto"/>
              <w:left w:val="nil"/>
              <w:bottom w:val="double" w:sz="4" w:space="0" w:color="auto"/>
              <w:right w:val="nil"/>
            </w:tcBorders>
            <w:vAlign w:val="center"/>
          </w:tcPr>
          <w:p w:rsidR="004B417C" w:rsidRPr="00B326D3"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 w:val="20"/>
                <w:lang w:val="el-GR"/>
              </w:rPr>
            </w:pPr>
          </w:p>
        </w:tc>
        <w:tc>
          <w:tcPr>
            <w:tcW w:w="1119" w:type="dxa"/>
            <w:tcBorders>
              <w:top w:val="double" w:sz="4" w:space="0" w:color="auto"/>
              <w:left w:val="nil"/>
              <w:bottom w:val="double" w:sz="4" w:space="0" w:color="auto"/>
              <w:right w:val="nil"/>
            </w:tcBorders>
            <w:vAlign w:val="center"/>
          </w:tcPr>
          <w:p w:rsidR="004B417C" w:rsidRPr="00B326D3"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 w:val="20"/>
                <w:lang w:val="el-GR"/>
              </w:rPr>
            </w:pPr>
          </w:p>
        </w:tc>
        <w:tc>
          <w:tcPr>
            <w:tcW w:w="1136" w:type="dxa"/>
            <w:tcBorders>
              <w:top w:val="double" w:sz="4" w:space="0" w:color="auto"/>
              <w:left w:val="nil"/>
              <w:bottom w:val="double" w:sz="4" w:space="0" w:color="auto"/>
              <w:right w:val="nil"/>
            </w:tcBorders>
            <w:vAlign w:val="center"/>
          </w:tcPr>
          <w:p w:rsidR="004B417C" w:rsidRPr="00B326D3"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 w:val="20"/>
                <w:lang w:val="el-GR"/>
              </w:rPr>
            </w:pPr>
          </w:p>
        </w:tc>
        <w:tc>
          <w:tcPr>
            <w:tcW w:w="508" w:type="dxa"/>
            <w:tcBorders>
              <w:top w:val="double" w:sz="4" w:space="0" w:color="auto"/>
              <w:left w:val="nil"/>
              <w:bottom w:val="double" w:sz="4" w:space="0" w:color="auto"/>
              <w:right w:val="nil"/>
            </w:tcBorders>
            <w:vAlign w:val="center"/>
          </w:tcPr>
          <w:p w:rsidR="004B417C" w:rsidRPr="00B326D3"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 w:val="20"/>
                <w:lang w:val="el-GR"/>
              </w:rPr>
            </w:pPr>
          </w:p>
        </w:tc>
        <w:tc>
          <w:tcPr>
            <w:tcW w:w="719" w:type="dxa"/>
            <w:tcBorders>
              <w:top w:val="double" w:sz="4" w:space="0" w:color="auto"/>
              <w:left w:val="nil"/>
              <w:bottom w:val="double" w:sz="4" w:space="0" w:color="auto"/>
              <w:right w:val="nil"/>
            </w:tcBorders>
            <w:vAlign w:val="center"/>
          </w:tcPr>
          <w:p w:rsidR="004B417C" w:rsidRPr="00B326D3"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 w:val="20"/>
                <w:lang w:val="el-GR"/>
              </w:rPr>
            </w:pPr>
          </w:p>
        </w:tc>
        <w:tc>
          <w:tcPr>
            <w:tcW w:w="1063" w:type="dxa"/>
            <w:tcBorders>
              <w:top w:val="double" w:sz="4" w:space="0" w:color="auto"/>
              <w:left w:val="nil"/>
              <w:bottom w:val="double" w:sz="4" w:space="0" w:color="auto"/>
              <w:right w:val="nil"/>
            </w:tcBorders>
            <w:vAlign w:val="center"/>
          </w:tcPr>
          <w:p w:rsidR="004B417C" w:rsidRPr="00B326D3"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 w:val="20"/>
                <w:lang w:val="el-GR"/>
              </w:rPr>
            </w:pPr>
          </w:p>
        </w:tc>
        <w:tc>
          <w:tcPr>
            <w:tcW w:w="1215" w:type="dxa"/>
            <w:tcBorders>
              <w:top w:val="double" w:sz="4" w:space="0" w:color="auto"/>
              <w:left w:val="nil"/>
              <w:bottom w:val="double" w:sz="4" w:space="0" w:color="auto"/>
              <w:right w:val="nil"/>
            </w:tcBorders>
            <w:vAlign w:val="center"/>
          </w:tcPr>
          <w:p w:rsidR="004B417C" w:rsidRPr="00B326D3"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 w:val="20"/>
                <w:lang w:val="el-GR"/>
              </w:rPr>
            </w:pPr>
          </w:p>
        </w:tc>
      </w:tr>
      <w:tr w:rsidR="004B417C" w:rsidRPr="00B326D3" w:rsidTr="005F45F3">
        <w:trPr>
          <w:trHeight w:val="294"/>
        </w:trPr>
        <w:tc>
          <w:tcPr>
            <w:tcW w:w="1980" w:type="dxa"/>
            <w:tcBorders>
              <w:left w:val="nil"/>
              <w:right w:val="nil"/>
            </w:tcBorders>
            <w:noWrap/>
            <w:vAlign w:val="center"/>
          </w:tcPr>
          <w:p w:rsidR="004B417C" w:rsidRPr="00B326D3"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b/>
                <w:szCs w:val="22"/>
                <w:lang w:val="el-GR"/>
              </w:rPr>
            </w:pPr>
            <w:r w:rsidRPr="00B326D3">
              <w:rPr>
                <w:b/>
                <w:szCs w:val="22"/>
                <w:lang w:val="el-GR"/>
              </w:rPr>
              <w:t>Καθαρό άνοιγμα 20</w:t>
            </w:r>
            <w:r w:rsidRPr="00B326D3">
              <w:rPr>
                <w:b/>
                <w:szCs w:val="22"/>
              </w:rPr>
              <w:t>1</w:t>
            </w:r>
            <w:r w:rsidRPr="00B326D3">
              <w:rPr>
                <w:b/>
                <w:szCs w:val="22"/>
                <w:lang w:val="el-GR"/>
              </w:rPr>
              <w:t>2</w:t>
            </w:r>
          </w:p>
        </w:tc>
        <w:tc>
          <w:tcPr>
            <w:tcW w:w="1080" w:type="dxa"/>
            <w:tcBorders>
              <w:top w:val="double" w:sz="4" w:space="0" w:color="auto"/>
              <w:left w:val="nil"/>
              <w:bottom w:val="double" w:sz="4" w:space="0" w:color="auto"/>
              <w:right w:val="nil"/>
            </w:tcBorders>
            <w:vAlign w:val="bottom"/>
          </w:tcPr>
          <w:p w:rsidR="004B417C" w:rsidRPr="00B326D3" w:rsidRDefault="004B417C" w:rsidP="00C26F2A">
            <w:pPr>
              <w:jc w:val="right"/>
              <w:rPr>
                <w:b/>
                <w:bCs/>
                <w:szCs w:val="22"/>
                <w:lang w:val="el-GR"/>
              </w:rPr>
            </w:pPr>
            <w:r w:rsidRPr="00B326D3">
              <w:rPr>
                <w:b/>
                <w:bCs/>
                <w:szCs w:val="22"/>
                <w:lang w:val="el-GR"/>
              </w:rPr>
              <w:t>147.086</w:t>
            </w:r>
          </w:p>
        </w:tc>
        <w:tc>
          <w:tcPr>
            <w:tcW w:w="1119" w:type="dxa"/>
            <w:tcBorders>
              <w:top w:val="double" w:sz="4" w:space="0" w:color="auto"/>
              <w:left w:val="nil"/>
              <w:bottom w:val="double" w:sz="4" w:space="0" w:color="auto"/>
              <w:right w:val="nil"/>
            </w:tcBorders>
            <w:vAlign w:val="bottom"/>
          </w:tcPr>
          <w:p w:rsidR="004B417C" w:rsidRPr="00B326D3" w:rsidRDefault="004B417C" w:rsidP="00C26F2A">
            <w:pPr>
              <w:jc w:val="right"/>
              <w:rPr>
                <w:b/>
                <w:bCs/>
                <w:szCs w:val="22"/>
                <w:lang w:val="el-GR"/>
              </w:rPr>
            </w:pPr>
            <w:r w:rsidRPr="00B326D3">
              <w:rPr>
                <w:b/>
                <w:bCs/>
                <w:szCs w:val="22"/>
                <w:lang w:val="el-GR"/>
              </w:rPr>
              <w:t>47.691</w:t>
            </w:r>
          </w:p>
        </w:tc>
        <w:tc>
          <w:tcPr>
            <w:tcW w:w="1136" w:type="dxa"/>
            <w:tcBorders>
              <w:top w:val="double" w:sz="4" w:space="0" w:color="auto"/>
              <w:left w:val="nil"/>
              <w:bottom w:val="double" w:sz="4" w:space="0" w:color="auto"/>
              <w:right w:val="nil"/>
            </w:tcBorders>
            <w:vAlign w:val="bottom"/>
          </w:tcPr>
          <w:p w:rsidR="004B417C" w:rsidRPr="00B326D3" w:rsidRDefault="004B417C" w:rsidP="00C26F2A">
            <w:pPr>
              <w:jc w:val="right"/>
              <w:rPr>
                <w:b/>
                <w:bCs/>
                <w:szCs w:val="22"/>
                <w:lang w:val="el-GR"/>
              </w:rPr>
            </w:pPr>
            <w:r w:rsidRPr="00B326D3">
              <w:rPr>
                <w:b/>
                <w:bCs/>
                <w:szCs w:val="22"/>
                <w:lang w:val="el-GR"/>
              </w:rPr>
              <w:t>(385.319)</w:t>
            </w:r>
          </w:p>
        </w:tc>
        <w:tc>
          <w:tcPr>
            <w:tcW w:w="508" w:type="dxa"/>
            <w:tcBorders>
              <w:top w:val="double" w:sz="4" w:space="0" w:color="auto"/>
              <w:left w:val="nil"/>
              <w:bottom w:val="double" w:sz="4" w:space="0" w:color="auto"/>
              <w:right w:val="nil"/>
            </w:tcBorders>
            <w:vAlign w:val="bottom"/>
          </w:tcPr>
          <w:p w:rsidR="004B417C" w:rsidRPr="00B326D3" w:rsidRDefault="004B417C" w:rsidP="00C26F2A">
            <w:pPr>
              <w:jc w:val="right"/>
              <w:rPr>
                <w:b/>
                <w:bCs/>
                <w:szCs w:val="22"/>
                <w:lang w:val="el-GR"/>
              </w:rPr>
            </w:pPr>
            <w:r w:rsidRPr="00B326D3">
              <w:rPr>
                <w:b/>
                <w:bCs/>
                <w:szCs w:val="22"/>
                <w:lang w:val="el-GR"/>
              </w:rPr>
              <w:t>-</w:t>
            </w:r>
          </w:p>
        </w:tc>
        <w:tc>
          <w:tcPr>
            <w:tcW w:w="719" w:type="dxa"/>
            <w:tcBorders>
              <w:top w:val="double" w:sz="4" w:space="0" w:color="auto"/>
              <w:left w:val="nil"/>
              <w:bottom w:val="double" w:sz="4" w:space="0" w:color="auto"/>
              <w:right w:val="nil"/>
            </w:tcBorders>
            <w:vAlign w:val="bottom"/>
          </w:tcPr>
          <w:p w:rsidR="004B417C" w:rsidRPr="00B326D3" w:rsidRDefault="004B417C" w:rsidP="003C2216">
            <w:pPr>
              <w:jc w:val="right"/>
              <w:rPr>
                <w:b/>
                <w:bCs/>
                <w:szCs w:val="22"/>
              </w:rPr>
            </w:pPr>
            <w:r w:rsidRPr="00B326D3">
              <w:rPr>
                <w:b/>
                <w:bCs/>
                <w:szCs w:val="22"/>
              </w:rPr>
              <w:t>-</w:t>
            </w:r>
          </w:p>
        </w:tc>
        <w:tc>
          <w:tcPr>
            <w:tcW w:w="1063" w:type="dxa"/>
            <w:tcBorders>
              <w:top w:val="double" w:sz="4" w:space="0" w:color="auto"/>
              <w:left w:val="nil"/>
              <w:bottom w:val="double" w:sz="4" w:space="0" w:color="auto"/>
              <w:right w:val="nil"/>
            </w:tcBorders>
            <w:vAlign w:val="bottom"/>
          </w:tcPr>
          <w:p w:rsidR="004B417C" w:rsidRPr="00B326D3" w:rsidRDefault="004B417C" w:rsidP="00C26F2A">
            <w:pPr>
              <w:jc w:val="right"/>
              <w:rPr>
                <w:b/>
                <w:bCs/>
                <w:szCs w:val="22"/>
                <w:lang w:val="el-GR"/>
              </w:rPr>
            </w:pPr>
            <w:r w:rsidRPr="00B326D3">
              <w:rPr>
                <w:b/>
                <w:bCs/>
                <w:szCs w:val="22"/>
                <w:lang w:val="el-GR"/>
              </w:rPr>
              <w:t>3.864</w:t>
            </w:r>
          </w:p>
        </w:tc>
        <w:tc>
          <w:tcPr>
            <w:tcW w:w="1215" w:type="dxa"/>
            <w:tcBorders>
              <w:top w:val="double" w:sz="4" w:space="0" w:color="auto"/>
              <w:left w:val="nil"/>
              <w:bottom w:val="double" w:sz="4" w:space="0" w:color="auto"/>
              <w:right w:val="nil"/>
            </w:tcBorders>
            <w:vAlign w:val="bottom"/>
          </w:tcPr>
          <w:p w:rsidR="004B417C" w:rsidRPr="00B326D3" w:rsidRDefault="004B417C" w:rsidP="005F45F3">
            <w:pPr>
              <w:rPr>
                <w:b/>
                <w:bCs/>
                <w:szCs w:val="22"/>
              </w:rPr>
            </w:pPr>
            <w:r w:rsidRPr="00B326D3">
              <w:rPr>
                <w:b/>
                <w:bCs/>
                <w:szCs w:val="22"/>
              </w:rPr>
              <w:t>(</w:t>
            </w:r>
            <w:r w:rsidRPr="00B326D3">
              <w:rPr>
                <w:b/>
                <w:bCs/>
                <w:szCs w:val="22"/>
                <w:lang w:val="el-GR"/>
              </w:rPr>
              <w:t>186.678</w:t>
            </w:r>
            <w:r w:rsidRPr="00B326D3">
              <w:rPr>
                <w:b/>
                <w:bCs/>
                <w:szCs w:val="22"/>
              </w:rPr>
              <w:t>)</w:t>
            </w:r>
          </w:p>
        </w:tc>
      </w:tr>
      <w:tr w:rsidR="004B417C" w:rsidRPr="008079FF" w:rsidTr="005F45F3">
        <w:trPr>
          <w:trHeight w:val="284"/>
        </w:trPr>
        <w:tc>
          <w:tcPr>
            <w:tcW w:w="1980" w:type="dxa"/>
            <w:tcBorders>
              <w:left w:val="nil"/>
              <w:right w:val="nil"/>
            </w:tcBorders>
            <w:noWrap/>
            <w:vAlign w:val="center"/>
          </w:tcPr>
          <w:p w:rsidR="004B417C" w:rsidRPr="00B326D3"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b/>
                <w:szCs w:val="22"/>
                <w:lang w:val="el-GR"/>
              </w:rPr>
            </w:pPr>
            <w:r w:rsidRPr="00B326D3">
              <w:rPr>
                <w:b/>
                <w:szCs w:val="22"/>
                <w:lang w:val="el-GR"/>
              </w:rPr>
              <w:t>Καθαρό άνοιγμα 20</w:t>
            </w:r>
            <w:r w:rsidRPr="00B326D3">
              <w:rPr>
                <w:b/>
                <w:szCs w:val="22"/>
              </w:rPr>
              <w:t>1</w:t>
            </w:r>
            <w:r w:rsidRPr="00B326D3">
              <w:rPr>
                <w:b/>
                <w:szCs w:val="22"/>
                <w:lang w:val="el-GR"/>
              </w:rPr>
              <w:t>1</w:t>
            </w:r>
          </w:p>
        </w:tc>
        <w:tc>
          <w:tcPr>
            <w:tcW w:w="1080" w:type="dxa"/>
            <w:tcBorders>
              <w:top w:val="double" w:sz="4" w:space="0" w:color="auto"/>
              <w:left w:val="nil"/>
              <w:bottom w:val="double" w:sz="4" w:space="0" w:color="auto"/>
              <w:right w:val="nil"/>
            </w:tcBorders>
            <w:vAlign w:val="bottom"/>
          </w:tcPr>
          <w:p w:rsidR="004B417C" w:rsidRPr="00B326D3" w:rsidRDefault="004B417C" w:rsidP="00C26F2A">
            <w:pPr>
              <w:jc w:val="right"/>
              <w:rPr>
                <w:b/>
                <w:bCs/>
                <w:szCs w:val="22"/>
                <w:lang w:val="el-GR"/>
              </w:rPr>
            </w:pPr>
            <w:r w:rsidRPr="00B326D3">
              <w:rPr>
                <w:b/>
                <w:bCs/>
                <w:szCs w:val="22"/>
                <w:lang w:val="el-GR"/>
              </w:rPr>
              <w:t>251.618</w:t>
            </w:r>
          </w:p>
        </w:tc>
        <w:tc>
          <w:tcPr>
            <w:tcW w:w="1119" w:type="dxa"/>
            <w:tcBorders>
              <w:top w:val="double" w:sz="4" w:space="0" w:color="auto"/>
              <w:left w:val="nil"/>
              <w:bottom w:val="double" w:sz="4" w:space="0" w:color="auto"/>
              <w:right w:val="nil"/>
            </w:tcBorders>
            <w:vAlign w:val="bottom"/>
          </w:tcPr>
          <w:p w:rsidR="004B417C" w:rsidRPr="00B326D3" w:rsidRDefault="004B417C" w:rsidP="00C26F2A">
            <w:pPr>
              <w:jc w:val="right"/>
              <w:rPr>
                <w:b/>
                <w:bCs/>
                <w:szCs w:val="22"/>
                <w:lang w:val="el-GR"/>
              </w:rPr>
            </w:pPr>
            <w:r w:rsidRPr="00B326D3">
              <w:rPr>
                <w:b/>
                <w:bCs/>
                <w:szCs w:val="22"/>
                <w:lang w:val="el-GR"/>
              </w:rPr>
              <w:t>56.975</w:t>
            </w:r>
          </w:p>
        </w:tc>
        <w:tc>
          <w:tcPr>
            <w:tcW w:w="1136" w:type="dxa"/>
            <w:tcBorders>
              <w:top w:val="double" w:sz="4" w:space="0" w:color="auto"/>
              <w:left w:val="nil"/>
              <w:bottom w:val="double" w:sz="4" w:space="0" w:color="auto"/>
              <w:right w:val="nil"/>
            </w:tcBorders>
            <w:vAlign w:val="bottom"/>
          </w:tcPr>
          <w:p w:rsidR="004B417C" w:rsidRPr="00B326D3" w:rsidRDefault="00E00791" w:rsidP="00C26F2A">
            <w:pPr>
              <w:jc w:val="right"/>
              <w:rPr>
                <w:b/>
                <w:bCs/>
                <w:szCs w:val="22"/>
                <w:lang w:val="el-GR"/>
              </w:rPr>
            </w:pPr>
            <w:r w:rsidRPr="00B326D3">
              <w:rPr>
                <w:b/>
                <w:bCs/>
                <w:szCs w:val="22"/>
                <w:lang w:val="el-GR"/>
              </w:rPr>
              <w:t>(428.3</w:t>
            </w:r>
            <w:r w:rsidRPr="00B326D3">
              <w:rPr>
                <w:b/>
                <w:bCs/>
                <w:szCs w:val="22"/>
              </w:rPr>
              <w:t>3</w:t>
            </w:r>
            <w:r w:rsidR="004B417C" w:rsidRPr="00B326D3">
              <w:rPr>
                <w:b/>
                <w:bCs/>
                <w:szCs w:val="22"/>
                <w:lang w:val="el-GR"/>
              </w:rPr>
              <w:t>0)</w:t>
            </w:r>
          </w:p>
        </w:tc>
        <w:tc>
          <w:tcPr>
            <w:tcW w:w="508" w:type="dxa"/>
            <w:tcBorders>
              <w:top w:val="double" w:sz="4" w:space="0" w:color="auto"/>
              <w:left w:val="nil"/>
              <w:bottom w:val="double" w:sz="4" w:space="0" w:color="auto"/>
              <w:right w:val="nil"/>
            </w:tcBorders>
            <w:vAlign w:val="bottom"/>
          </w:tcPr>
          <w:p w:rsidR="004B417C" w:rsidRPr="00B326D3" w:rsidRDefault="004B417C" w:rsidP="00C26F2A">
            <w:pPr>
              <w:jc w:val="right"/>
              <w:rPr>
                <w:b/>
                <w:bCs/>
                <w:szCs w:val="22"/>
                <w:lang w:val="el-GR"/>
              </w:rPr>
            </w:pPr>
            <w:r w:rsidRPr="00B326D3">
              <w:rPr>
                <w:b/>
                <w:bCs/>
                <w:szCs w:val="22"/>
                <w:lang w:val="el-GR"/>
              </w:rPr>
              <w:t>-</w:t>
            </w:r>
          </w:p>
        </w:tc>
        <w:tc>
          <w:tcPr>
            <w:tcW w:w="719" w:type="dxa"/>
            <w:tcBorders>
              <w:top w:val="double" w:sz="4" w:space="0" w:color="auto"/>
              <w:left w:val="nil"/>
              <w:bottom w:val="double" w:sz="4" w:space="0" w:color="auto"/>
              <w:right w:val="nil"/>
            </w:tcBorders>
            <w:vAlign w:val="bottom"/>
          </w:tcPr>
          <w:p w:rsidR="004B417C" w:rsidRPr="00B326D3" w:rsidRDefault="004B417C" w:rsidP="00C26F2A">
            <w:pPr>
              <w:jc w:val="right"/>
              <w:rPr>
                <w:b/>
                <w:bCs/>
                <w:szCs w:val="22"/>
                <w:lang w:val="el-GR"/>
              </w:rPr>
            </w:pPr>
            <w:r w:rsidRPr="00B326D3">
              <w:rPr>
                <w:b/>
                <w:bCs/>
                <w:szCs w:val="22"/>
                <w:lang w:val="el-GR"/>
              </w:rPr>
              <w:t>-</w:t>
            </w:r>
          </w:p>
        </w:tc>
        <w:tc>
          <w:tcPr>
            <w:tcW w:w="1063" w:type="dxa"/>
            <w:tcBorders>
              <w:top w:val="double" w:sz="4" w:space="0" w:color="auto"/>
              <w:left w:val="nil"/>
              <w:bottom w:val="double" w:sz="4" w:space="0" w:color="auto"/>
              <w:right w:val="nil"/>
            </w:tcBorders>
            <w:vAlign w:val="bottom"/>
          </w:tcPr>
          <w:p w:rsidR="004B417C" w:rsidRPr="00B326D3" w:rsidRDefault="004B417C" w:rsidP="00C26F2A">
            <w:pPr>
              <w:jc w:val="right"/>
              <w:rPr>
                <w:b/>
                <w:bCs/>
                <w:szCs w:val="22"/>
                <w:lang w:val="el-GR"/>
              </w:rPr>
            </w:pPr>
            <w:r w:rsidRPr="00B326D3">
              <w:rPr>
                <w:b/>
                <w:bCs/>
                <w:szCs w:val="22"/>
                <w:lang w:val="el-GR"/>
              </w:rPr>
              <w:t>387</w:t>
            </w:r>
          </w:p>
        </w:tc>
        <w:tc>
          <w:tcPr>
            <w:tcW w:w="1215" w:type="dxa"/>
            <w:tcBorders>
              <w:top w:val="double" w:sz="4" w:space="0" w:color="auto"/>
              <w:left w:val="nil"/>
              <w:bottom w:val="double" w:sz="4" w:space="0" w:color="auto"/>
              <w:right w:val="nil"/>
            </w:tcBorders>
            <w:vAlign w:val="bottom"/>
          </w:tcPr>
          <w:p w:rsidR="004B417C" w:rsidRPr="005A0B02" w:rsidRDefault="004B417C" w:rsidP="00C26F2A">
            <w:pPr>
              <w:jc w:val="right"/>
              <w:rPr>
                <w:b/>
                <w:bCs/>
                <w:szCs w:val="22"/>
                <w:lang w:val="el-GR"/>
              </w:rPr>
            </w:pPr>
            <w:r w:rsidRPr="00B326D3">
              <w:rPr>
                <w:b/>
                <w:bCs/>
                <w:szCs w:val="22"/>
                <w:lang w:val="el-GR"/>
              </w:rPr>
              <w:t>(119.350)</w:t>
            </w:r>
          </w:p>
        </w:tc>
      </w:tr>
    </w:tbl>
    <w:p w:rsidR="004B417C" w:rsidRDefault="004B417C">
      <w:pPr>
        <w:rPr>
          <w:lang w:val="el-GR"/>
        </w:rPr>
      </w:pPr>
      <w:bookmarkStart w:id="32" w:name="_Toc128477851"/>
    </w:p>
    <w:p w:rsidR="004B417C" w:rsidRDefault="004B417C" w:rsidP="005027E5">
      <w:pPr>
        <w:pStyle w:val="Heading2"/>
        <w:ind w:left="539" w:hanging="539"/>
        <w:rPr>
          <w:lang w:val="el-GR"/>
        </w:rPr>
      </w:pPr>
      <w:r>
        <w:rPr>
          <w:lang w:val="el-GR"/>
        </w:rPr>
        <w:br w:type="page"/>
      </w:r>
      <w:r>
        <w:rPr>
          <w:lang w:val="el-GR"/>
        </w:rPr>
        <w:lastRenderedPageBreak/>
        <w:t>22.4</w:t>
      </w:r>
      <w:r>
        <w:rPr>
          <w:lang w:val="el-GR"/>
        </w:rPr>
        <w:tab/>
        <w:t>Κίνδυνος ρευστότητας</w:t>
      </w:r>
      <w:bookmarkEnd w:id="32"/>
    </w:p>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both"/>
        <w:rPr>
          <w:szCs w:val="17"/>
          <w:lang w:val="el-GR"/>
        </w:rPr>
      </w:pPr>
    </w:p>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both"/>
        <w:rPr>
          <w:szCs w:val="17"/>
          <w:lang w:val="el-GR"/>
        </w:rPr>
      </w:pPr>
      <w:r>
        <w:rPr>
          <w:szCs w:val="17"/>
          <w:lang w:val="el-GR"/>
        </w:rPr>
        <w:t>Ο κίνδυνος ρευστότητας σχετίζεται με τη δυνατότητα της εταιρείας να εκπληρώσει τις χρηματοοικονομικές της υποχρεώσεις, όταν αυτές γίνουν απαιτητές.</w:t>
      </w:r>
    </w:p>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both"/>
        <w:rPr>
          <w:szCs w:val="17"/>
          <w:lang w:val="el-GR"/>
        </w:rPr>
      </w:pPr>
      <w:r>
        <w:rPr>
          <w:szCs w:val="17"/>
          <w:lang w:val="el-GR"/>
        </w:rPr>
        <w:t>Η παρακολούθηση του κινδύνου ρευστότητας επικεντρώνεται στη διαχείριση του χρονικού συσχετισμού των ταμειακών ροών και στην εξασφάλιση επαρκών ταμειακών διαθεσίμων για την κάλυψη των τρεχουσών συναλλαγών.</w:t>
      </w:r>
    </w:p>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both"/>
        <w:rPr>
          <w:szCs w:val="17"/>
          <w:lang w:val="el-GR"/>
        </w:rPr>
      </w:pPr>
    </w:p>
    <w:tbl>
      <w:tblPr>
        <w:tblW w:w="8770" w:type="dxa"/>
        <w:tblInd w:w="108" w:type="dxa"/>
        <w:tblLook w:val="0000"/>
      </w:tblPr>
      <w:tblGrid>
        <w:gridCol w:w="3060"/>
        <w:gridCol w:w="931"/>
        <w:gridCol w:w="711"/>
        <w:gridCol w:w="1078"/>
        <w:gridCol w:w="1078"/>
        <w:gridCol w:w="931"/>
        <w:gridCol w:w="981"/>
      </w:tblGrid>
      <w:tr w:rsidR="004B417C" w:rsidRPr="00C3598C">
        <w:trPr>
          <w:trHeight w:val="284"/>
        </w:trPr>
        <w:tc>
          <w:tcPr>
            <w:tcW w:w="3060" w:type="dxa"/>
            <w:tcBorders>
              <w:left w:val="nil"/>
              <w:bottom w:val="nil"/>
              <w:right w:val="nil"/>
            </w:tcBorders>
            <w:noWrap/>
            <w:vAlign w:val="center"/>
          </w:tcPr>
          <w:p w:rsidR="004B417C" w:rsidRPr="00901310"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sz w:val="20"/>
                <w:lang w:val="el-GR"/>
              </w:rPr>
            </w:pPr>
          </w:p>
        </w:tc>
        <w:tc>
          <w:tcPr>
            <w:tcW w:w="931" w:type="dxa"/>
            <w:tcBorders>
              <w:left w:val="nil"/>
              <w:bottom w:val="single" w:sz="4" w:space="0" w:color="auto"/>
              <w:right w:val="nil"/>
            </w:tcBorders>
            <w:vAlign w:val="center"/>
          </w:tcPr>
          <w:p w:rsidR="004B417C" w:rsidRPr="00901310"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s>
              <w:jc w:val="center"/>
              <w:rPr>
                <w:b/>
                <w:sz w:val="20"/>
                <w:lang w:val="el-GR"/>
              </w:rPr>
            </w:pPr>
            <w:r w:rsidRPr="00901310">
              <w:rPr>
                <w:b/>
                <w:bCs/>
                <w:sz w:val="20"/>
                <w:lang w:val="el-GR"/>
              </w:rPr>
              <w:br/>
              <w:t>Έως 1 μήνα</w:t>
            </w:r>
          </w:p>
        </w:tc>
        <w:tc>
          <w:tcPr>
            <w:tcW w:w="711" w:type="dxa"/>
            <w:tcBorders>
              <w:left w:val="nil"/>
              <w:bottom w:val="single" w:sz="4" w:space="0" w:color="auto"/>
              <w:right w:val="nil"/>
            </w:tcBorders>
            <w:vAlign w:val="center"/>
          </w:tcPr>
          <w:p w:rsidR="004B417C" w:rsidRPr="00901310" w:rsidRDefault="004B417C">
            <w:pPr>
              <w:autoSpaceDE w:val="0"/>
              <w:autoSpaceDN w:val="0"/>
              <w:adjustRightInd w:val="0"/>
              <w:spacing w:line="240" w:lineRule="auto"/>
              <w:jc w:val="center"/>
              <w:rPr>
                <w:b/>
                <w:bCs/>
                <w:sz w:val="20"/>
                <w:lang w:val="el-GR"/>
              </w:rPr>
            </w:pPr>
            <w:r w:rsidRPr="00901310">
              <w:rPr>
                <w:b/>
                <w:bCs/>
                <w:sz w:val="20"/>
                <w:lang w:val="el-GR"/>
              </w:rPr>
              <w:br/>
              <w:t>1-3 μήνες</w:t>
            </w:r>
          </w:p>
        </w:tc>
        <w:tc>
          <w:tcPr>
            <w:tcW w:w="1078" w:type="dxa"/>
            <w:tcBorders>
              <w:left w:val="nil"/>
              <w:bottom w:val="single" w:sz="4" w:space="0" w:color="auto"/>
              <w:right w:val="nil"/>
            </w:tcBorders>
            <w:vAlign w:val="center"/>
          </w:tcPr>
          <w:p w:rsidR="004B417C" w:rsidRPr="00901310" w:rsidRDefault="004B417C">
            <w:pPr>
              <w:autoSpaceDE w:val="0"/>
              <w:autoSpaceDN w:val="0"/>
              <w:adjustRightInd w:val="0"/>
              <w:spacing w:line="240" w:lineRule="auto"/>
              <w:jc w:val="center"/>
              <w:rPr>
                <w:b/>
                <w:bCs/>
                <w:sz w:val="20"/>
                <w:lang w:val="el-GR"/>
              </w:rPr>
            </w:pPr>
            <w:r w:rsidRPr="00901310">
              <w:rPr>
                <w:b/>
                <w:bCs/>
                <w:sz w:val="20"/>
                <w:lang w:val="el-GR"/>
              </w:rPr>
              <w:br/>
              <w:t>3-12 μήνες</w:t>
            </w:r>
          </w:p>
        </w:tc>
        <w:tc>
          <w:tcPr>
            <w:tcW w:w="1078" w:type="dxa"/>
            <w:tcBorders>
              <w:left w:val="nil"/>
              <w:bottom w:val="single" w:sz="4" w:space="0" w:color="auto"/>
              <w:right w:val="nil"/>
            </w:tcBorders>
            <w:vAlign w:val="center"/>
          </w:tcPr>
          <w:p w:rsidR="004B417C" w:rsidRPr="00901310" w:rsidRDefault="004B417C">
            <w:pPr>
              <w:autoSpaceDE w:val="0"/>
              <w:autoSpaceDN w:val="0"/>
              <w:adjustRightInd w:val="0"/>
              <w:spacing w:line="240" w:lineRule="auto"/>
              <w:jc w:val="center"/>
              <w:rPr>
                <w:b/>
                <w:bCs/>
                <w:sz w:val="20"/>
                <w:lang w:val="el-GR"/>
              </w:rPr>
            </w:pPr>
            <w:r w:rsidRPr="00901310">
              <w:rPr>
                <w:b/>
                <w:bCs/>
                <w:sz w:val="20"/>
                <w:lang w:val="el-GR"/>
              </w:rPr>
              <w:br/>
            </w:r>
            <w:r w:rsidRPr="00901310">
              <w:rPr>
                <w:b/>
                <w:bCs/>
                <w:sz w:val="20"/>
                <w:lang w:val="el-GR"/>
              </w:rPr>
              <w:br/>
              <w:t>1-5 έτη</w:t>
            </w:r>
          </w:p>
        </w:tc>
        <w:tc>
          <w:tcPr>
            <w:tcW w:w="931" w:type="dxa"/>
            <w:tcBorders>
              <w:left w:val="nil"/>
              <w:bottom w:val="single" w:sz="4" w:space="0" w:color="auto"/>
              <w:right w:val="nil"/>
            </w:tcBorders>
            <w:vAlign w:val="center"/>
          </w:tcPr>
          <w:p w:rsidR="004B417C" w:rsidRPr="00901310" w:rsidRDefault="004B417C">
            <w:pPr>
              <w:autoSpaceDE w:val="0"/>
              <w:autoSpaceDN w:val="0"/>
              <w:adjustRightInd w:val="0"/>
              <w:spacing w:line="240" w:lineRule="auto"/>
              <w:jc w:val="center"/>
              <w:rPr>
                <w:b/>
                <w:bCs/>
                <w:sz w:val="20"/>
                <w:lang w:val="el-GR"/>
              </w:rPr>
            </w:pPr>
            <w:r w:rsidRPr="00901310">
              <w:rPr>
                <w:b/>
                <w:bCs/>
                <w:sz w:val="20"/>
                <w:lang w:val="el-GR"/>
              </w:rPr>
              <w:t>Πάνω από 5 έτη</w:t>
            </w:r>
          </w:p>
        </w:tc>
        <w:tc>
          <w:tcPr>
            <w:tcW w:w="981" w:type="dxa"/>
            <w:tcBorders>
              <w:left w:val="nil"/>
              <w:bottom w:val="single" w:sz="4" w:space="0" w:color="auto"/>
              <w:right w:val="nil"/>
            </w:tcBorders>
          </w:tcPr>
          <w:p w:rsidR="004B417C" w:rsidRPr="00901310" w:rsidRDefault="004B417C">
            <w:pPr>
              <w:autoSpaceDE w:val="0"/>
              <w:autoSpaceDN w:val="0"/>
              <w:adjustRightInd w:val="0"/>
              <w:spacing w:line="240" w:lineRule="auto"/>
              <w:jc w:val="right"/>
              <w:rPr>
                <w:b/>
                <w:bCs/>
                <w:sz w:val="20"/>
                <w:szCs w:val="17"/>
                <w:lang w:val="el-GR"/>
              </w:rPr>
            </w:pPr>
            <w:r w:rsidRPr="00901310">
              <w:rPr>
                <w:b/>
                <w:bCs/>
                <w:sz w:val="20"/>
                <w:szCs w:val="17"/>
                <w:lang w:val="el-GR"/>
              </w:rPr>
              <w:br/>
            </w:r>
          </w:p>
          <w:p w:rsidR="004B417C" w:rsidRPr="00901310" w:rsidRDefault="004B417C">
            <w:pPr>
              <w:autoSpaceDE w:val="0"/>
              <w:autoSpaceDN w:val="0"/>
              <w:adjustRightInd w:val="0"/>
              <w:spacing w:line="240" w:lineRule="auto"/>
              <w:jc w:val="center"/>
              <w:rPr>
                <w:b/>
                <w:bCs/>
                <w:sz w:val="20"/>
                <w:szCs w:val="17"/>
                <w:lang w:val="el-GR"/>
              </w:rPr>
            </w:pPr>
            <w:r w:rsidRPr="00901310">
              <w:rPr>
                <w:b/>
                <w:bCs/>
                <w:sz w:val="20"/>
                <w:szCs w:val="17"/>
                <w:lang w:val="el-GR"/>
              </w:rPr>
              <w:t>Σύνολο</w:t>
            </w:r>
          </w:p>
        </w:tc>
      </w:tr>
      <w:tr w:rsidR="004B417C" w:rsidRPr="00C3598C">
        <w:trPr>
          <w:trHeight w:val="284"/>
        </w:trPr>
        <w:tc>
          <w:tcPr>
            <w:tcW w:w="3060" w:type="dxa"/>
            <w:tcBorders>
              <w:left w:val="nil"/>
              <w:right w:val="nil"/>
            </w:tcBorders>
            <w:noWrap/>
            <w:vAlign w:val="center"/>
          </w:tcPr>
          <w:p w:rsidR="004B417C" w:rsidRPr="00901310"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ind w:firstLine="252"/>
              <w:rPr>
                <w:b/>
                <w:sz w:val="20"/>
                <w:lang w:val="el-GR"/>
              </w:rPr>
            </w:pPr>
          </w:p>
        </w:tc>
        <w:tc>
          <w:tcPr>
            <w:tcW w:w="931" w:type="dxa"/>
            <w:tcBorders>
              <w:left w:val="nil"/>
              <w:right w:val="nil"/>
            </w:tcBorders>
            <w:vAlign w:val="center"/>
          </w:tcPr>
          <w:p w:rsidR="004B417C" w:rsidRPr="00901310"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711" w:type="dxa"/>
            <w:tcBorders>
              <w:left w:val="nil"/>
              <w:right w:val="nil"/>
            </w:tcBorders>
            <w:vAlign w:val="center"/>
          </w:tcPr>
          <w:p w:rsidR="004B417C" w:rsidRPr="00901310"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078" w:type="dxa"/>
            <w:tcBorders>
              <w:left w:val="nil"/>
              <w:right w:val="nil"/>
            </w:tcBorders>
            <w:vAlign w:val="center"/>
          </w:tcPr>
          <w:p w:rsidR="004B417C" w:rsidRPr="00901310"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078" w:type="dxa"/>
            <w:tcBorders>
              <w:left w:val="nil"/>
              <w:right w:val="nil"/>
            </w:tcBorders>
            <w:vAlign w:val="center"/>
          </w:tcPr>
          <w:p w:rsidR="004B417C" w:rsidRPr="00901310"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931" w:type="dxa"/>
            <w:tcBorders>
              <w:left w:val="nil"/>
              <w:right w:val="nil"/>
            </w:tcBorders>
            <w:vAlign w:val="center"/>
          </w:tcPr>
          <w:p w:rsidR="004B417C" w:rsidRPr="00901310"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981" w:type="dxa"/>
            <w:tcBorders>
              <w:left w:val="nil"/>
              <w:right w:val="nil"/>
            </w:tcBorders>
            <w:vAlign w:val="center"/>
          </w:tcPr>
          <w:p w:rsidR="004B417C" w:rsidRPr="00901310"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r>
      <w:tr w:rsidR="004B417C" w:rsidRPr="00C3598C">
        <w:trPr>
          <w:trHeight w:val="284"/>
        </w:trPr>
        <w:tc>
          <w:tcPr>
            <w:tcW w:w="3060" w:type="dxa"/>
            <w:tcBorders>
              <w:left w:val="nil"/>
              <w:right w:val="nil"/>
            </w:tcBorders>
            <w:noWrap/>
            <w:vAlign w:val="center"/>
          </w:tcPr>
          <w:p w:rsidR="004B417C" w:rsidRPr="00901310"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sz w:val="20"/>
                <w:lang w:val="el-GR"/>
              </w:rPr>
            </w:pPr>
            <w:r w:rsidRPr="00901310">
              <w:rPr>
                <w:sz w:val="20"/>
                <w:lang w:val="el-GR"/>
              </w:rPr>
              <w:t>Ομολογιακά Δάνεια</w:t>
            </w:r>
          </w:p>
        </w:tc>
        <w:tc>
          <w:tcPr>
            <w:tcW w:w="931" w:type="dxa"/>
            <w:tcBorders>
              <w:left w:val="nil"/>
              <w:right w:val="nil"/>
            </w:tcBorders>
            <w:vAlign w:val="center"/>
          </w:tcPr>
          <w:p w:rsidR="004B417C" w:rsidRPr="00901310"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rPr>
            </w:pPr>
            <w:r w:rsidRPr="00901310">
              <w:rPr>
                <w:sz w:val="20"/>
              </w:rPr>
              <w:t>-</w:t>
            </w:r>
          </w:p>
        </w:tc>
        <w:tc>
          <w:tcPr>
            <w:tcW w:w="711" w:type="dxa"/>
            <w:tcBorders>
              <w:left w:val="nil"/>
              <w:right w:val="nil"/>
            </w:tcBorders>
            <w:vAlign w:val="center"/>
          </w:tcPr>
          <w:p w:rsidR="004B417C" w:rsidRPr="00901310"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rPr>
            </w:pPr>
            <w:r w:rsidRPr="00901310">
              <w:rPr>
                <w:sz w:val="20"/>
              </w:rPr>
              <w:t>5.000</w:t>
            </w:r>
          </w:p>
        </w:tc>
        <w:tc>
          <w:tcPr>
            <w:tcW w:w="1078" w:type="dxa"/>
            <w:tcBorders>
              <w:left w:val="nil"/>
              <w:right w:val="nil"/>
            </w:tcBorders>
            <w:vAlign w:val="center"/>
          </w:tcPr>
          <w:p w:rsidR="004B417C" w:rsidRPr="00901310" w:rsidRDefault="004B417C" w:rsidP="00A67AD2">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rPr>
            </w:pPr>
            <w:r>
              <w:rPr>
                <w:sz w:val="20"/>
              </w:rPr>
              <w:t>13.218</w:t>
            </w:r>
          </w:p>
        </w:tc>
        <w:tc>
          <w:tcPr>
            <w:tcW w:w="1078" w:type="dxa"/>
            <w:tcBorders>
              <w:left w:val="nil"/>
              <w:right w:val="nil"/>
            </w:tcBorders>
            <w:vAlign w:val="center"/>
          </w:tcPr>
          <w:p w:rsidR="004B417C" w:rsidRPr="00901310"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rPr>
            </w:pPr>
            <w:r>
              <w:rPr>
                <w:sz w:val="20"/>
              </w:rPr>
              <w:t>175.000</w:t>
            </w:r>
          </w:p>
        </w:tc>
        <w:tc>
          <w:tcPr>
            <w:tcW w:w="931" w:type="dxa"/>
            <w:tcBorders>
              <w:left w:val="nil"/>
              <w:right w:val="nil"/>
            </w:tcBorders>
            <w:vAlign w:val="center"/>
          </w:tcPr>
          <w:p w:rsidR="004B417C" w:rsidRPr="00901310" w:rsidRDefault="004B417C" w:rsidP="00DB3034">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rPr>
            </w:pPr>
            <w:r>
              <w:rPr>
                <w:sz w:val="20"/>
              </w:rPr>
              <w:t>193.211</w:t>
            </w:r>
          </w:p>
        </w:tc>
        <w:tc>
          <w:tcPr>
            <w:tcW w:w="981" w:type="dxa"/>
            <w:tcBorders>
              <w:left w:val="nil"/>
              <w:right w:val="nil"/>
            </w:tcBorders>
            <w:vAlign w:val="center"/>
          </w:tcPr>
          <w:p w:rsidR="004B417C" w:rsidRPr="00901310"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rPr>
            </w:pPr>
            <w:r w:rsidRPr="00901310">
              <w:rPr>
                <w:sz w:val="20"/>
              </w:rPr>
              <w:t>386.429</w:t>
            </w:r>
          </w:p>
        </w:tc>
      </w:tr>
      <w:tr w:rsidR="004B417C" w:rsidRPr="00C3598C">
        <w:trPr>
          <w:trHeight w:val="346"/>
        </w:trPr>
        <w:tc>
          <w:tcPr>
            <w:tcW w:w="3060" w:type="dxa"/>
            <w:tcBorders>
              <w:left w:val="nil"/>
              <w:right w:val="nil"/>
            </w:tcBorders>
            <w:noWrap/>
            <w:vAlign w:val="center"/>
          </w:tcPr>
          <w:p w:rsidR="004B417C" w:rsidRPr="00901310"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sz w:val="20"/>
              </w:rPr>
            </w:pPr>
            <w:r w:rsidRPr="00901310">
              <w:rPr>
                <w:b/>
                <w:sz w:val="20"/>
                <w:lang w:val="el-GR"/>
              </w:rPr>
              <w:t>Σύνολα 31.12.201</w:t>
            </w:r>
            <w:r w:rsidRPr="00901310">
              <w:rPr>
                <w:b/>
                <w:sz w:val="20"/>
              </w:rPr>
              <w:t>2</w:t>
            </w:r>
          </w:p>
        </w:tc>
        <w:tc>
          <w:tcPr>
            <w:tcW w:w="931" w:type="dxa"/>
            <w:tcBorders>
              <w:top w:val="single" w:sz="4" w:space="0" w:color="auto"/>
              <w:left w:val="nil"/>
              <w:bottom w:val="double" w:sz="4" w:space="0" w:color="auto"/>
              <w:right w:val="nil"/>
            </w:tcBorders>
            <w:vAlign w:val="center"/>
          </w:tcPr>
          <w:p w:rsidR="004B417C" w:rsidRPr="00901310"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 w:val="20"/>
              </w:rPr>
            </w:pPr>
            <w:r w:rsidRPr="00901310">
              <w:rPr>
                <w:b/>
                <w:sz w:val="20"/>
              </w:rPr>
              <w:t>-</w:t>
            </w:r>
          </w:p>
        </w:tc>
        <w:tc>
          <w:tcPr>
            <w:tcW w:w="711" w:type="dxa"/>
            <w:tcBorders>
              <w:top w:val="single" w:sz="4" w:space="0" w:color="auto"/>
              <w:left w:val="nil"/>
              <w:bottom w:val="double" w:sz="4" w:space="0" w:color="auto"/>
              <w:right w:val="nil"/>
            </w:tcBorders>
            <w:vAlign w:val="center"/>
          </w:tcPr>
          <w:p w:rsidR="004B417C" w:rsidRPr="00901310"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 w:val="20"/>
              </w:rPr>
            </w:pPr>
            <w:r w:rsidRPr="00901310">
              <w:rPr>
                <w:b/>
                <w:sz w:val="20"/>
              </w:rPr>
              <w:t>5.000</w:t>
            </w:r>
          </w:p>
        </w:tc>
        <w:tc>
          <w:tcPr>
            <w:tcW w:w="1078" w:type="dxa"/>
            <w:tcBorders>
              <w:top w:val="single" w:sz="4" w:space="0" w:color="auto"/>
              <w:left w:val="nil"/>
              <w:bottom w:val="double" w:sz="4" w:space="0" w:color="auto"/>
              <w:right w:val="nil"/>
            </w:tcBorders>
            <w:vAlign w:val="center"/>
          </w:tcPr>
          <w:p w:rsidR="004B417C" w:rsidRPr="00901310" w:rsidRDefault="004B417C" w:rsidP="00E100D4">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 w:val="20"/>
              </w:rPr>
            </w:pPr>
            <w:r>
              <w:rPr>
                <w:b/>
                <w:sz w:val="20"/>
              </w:rPr>
              <w:t>13.218</w:t>
            </w:r>
          </w:p>
        </w:tc>
        <w:tc>
          <w:tcPr>
            <w:tcW w:w="1078" w:type="dxa"/>
            <w:tcBorders>
              <w:top w:val="single" w:sz="4" w:space="0" w:color="auto"/>
              <w:left w:val="nil"/>
              <w:bottom w:val="double" w:sz="4" w:space="0" w:color="auto"/>
              <w:right w:val="nil"/>
            </w:tcBorders>
            <w:vAlign w:val="center"/>
          </w:tcPr>
          <w:p w:rsidR="004B417C" w:rsidRPr="00901310"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 w:val="20"/>
              </w:rPr>
            </w:pPr>
            <w:r>
              <w:rPr>
                <w:b/>
                <w:sz w:val="20"/>
              </w:rPr>
              <w:t>175.000</w:t>
            </w:r>
          </w:p>
        </w:tc>
        <w:tc>
          <w:tcPr>
            <w:tcW w:w="931" w:type="dxa"/>
            <w:tcBorders>
              <w:top w:val="single" w:sz="4" w:space="0" w:color="auto"/>
              <w:left w:val="nil"/>
              <w:bottom w:val="double" w:sz="4" w:space="0" w:color="auto"/>
              <w:right w:val="nil"/>
            </w:tcBorders>
            <w:vAlign w:val="center"/>
          </w:tcPr>
          <w:p w:rsidR="004B417C" w:rsidRPr="00901310"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 w:val="20"/>
              </w:rPr>
            </w:pPr>
            <w:r>
              <w:rPr>
                <w:b/>
                <w:sz w:val="20"/>
              </w:rPr>
              <w:t>193.211</w:t>
            </w:r>
          </w:p>
        </w:tc>
        <w:tc>
          <w:tcPr>
            <w:tcW w:w="981" w:type="dxa"/>
            <w:tcBorders>
              <w:top w:val="single" w:sz="4" w:space="0" w:color="auto"/>
              <w:left w:val="nil"/>
              <w:bottom w:val="double" w:sz="4" w:space="0" w:color="auto"/>
              <w:right w:val="nil"/>
            </w:tcBorders>
            <w:vAlign w:val="center"/>
          </w:tcPr>
          <w:p w:rsidR="004B417C" w:rsidRPr="00901310"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 w:val="20"/>
              </w:rPr>
            </w:pPr>
            <w:r w:rsidRPr="00901310">
              <w:rPr>
                <w:b/>
                <w:sz w:val="20"/>
              </w:rPr>
              <w:t>386.489</w:t>
            </w:r>
          </w:p>
        </w:tc>
      </w:tr>
      <w:tr w:rsidR="004B417C" w:rsidRPr="00C3598C">
        <w:trPr>
          <w:trHeight w:hRule="exact" w:val="113"/>
        </w:trPr>
        <w:tc>
          <w:tcPr>
            <w:tcW w:w="3060" w:type="dxa"/>
            <w:tcBorders>
              <w:left w:val="nil"/>
              <w:right w:val="nil"/>
            </w:tcBorders>
            <w:noWrap/>
            <w:vAlign w:val="center"/>
          </w:tcPr>
          <w:p w:rsidR="004B417C" w:rsidRPr="00901310"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b/>
                <w:sz w:val="20"/>
                <w:lang w:val="el-GR"/>
              </w:rPr>
            </w:pPr>
          </w:p>
        </w:tc>
        <w:tc>
          <w:tcPr>
            <w:tcW w:w="931" w:type="dxa"/>
            <w:tcBorders>
              <w:top w:val="double" w:sz="4" w:space="0" w:color="auto"/>
              <w:left w:val="nil"/>
              <w:bottom w:val="single" w:sz="4" w:space="0" w:color="auto"/>
              <w:right w:val="nil"/>
            </w:tcBorders>
            <w:vAlign w:val="center"/>
          </w:tcPr>
          <w:p w:rsidR="004B417C" w:rsidRPr="00901310"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 w:val="20"/>
                <w:lang w:val="el-GR"/>
              </w:rPr>
            </w:pPr>
          </w:p>
        </w:tc>
        <w:tc>
          <w:tcPr>
            <w:tcW w:w="711" w:type="dxa"/>
            <w:tcBorders>
              <w:top w:val="double" w:sz="4" w:space="0" w:color="auto"/>
              <w:left w:val="nil"/>
              <w:bottom w:val="single" w:sz="4" w:space="0" w:color="auto"/>
              <w:right w:val="nil"/>
            </w:tcBorders>
            <w:vAlign w:val="center"/>
          </w:tcPr>
          <w:p w:rsidR="004B417C" w:rsidRPr="00901310"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 w:val="20"/>
                <w:lang w:val="el-GR"/>
              </w:rPr>
            </w:pPr>
          </w:p>
        </w:tc>
        <w:tc>
          <w:tcPr>
            <w:tcW w:w="1078" w:type="dxa"/>
            <w:tcBorders>
              <w:top w:val="double" w:sz="4" w:space="0" w:color="auto"/>
              <w:left w:val="nil"/>
              <w:bottom w:val="single" w:sz="4" w:space="0" w:color="auto"/>
              <w:right w:val="nil"/>
            </w:tcBorders>
            <w:vAlign w:val="center"/>
          </w:tcPr>
          <w:p w:rsidR="004B417C" w:rsidRPr="00901310"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 w:val="20"/>
                <w:lang w:val="el-GR"/>
              </w:rPr>
            </w:pPr>
          </w:p>
        </w:tc>
        <w:tc>
          <w:tcPr>
            <w:tcW w:w="1078" w:type="dxa"/>
            <w:tcBorders>
              <w:top w:val="double" w:sz="4" w:space="0" w:color="auto"/>
              <w:left w:val="nil"/>
              <w:bottom w:val="single" w:sz="4" w:space="0" w:color="auto"/>
              <w:right w:val="nil"/>
            </w:tcBorders>
            <w:vAlign w:val="center"/>
          </w:tcPr>
          <w:p w:rsidR="004B417C" w:rsidRPr="00901310"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 w:val="20"/>
                <w:lang w:val="el-GR"/>
              </w:rPr>
            </w:pPr>
          </w:p>
        </w:tc>
        <w:tc>
          <w:tcPr>
            <w:tcW w:w="931" w:type="dxa"/>
            <w:tcBorders>
              <w:top w:val="double" w:sz="4" w:space="0" w:color="auto"/>
              <w:left w:val="nil"/>
              <w:bottom w:val="single" w:sz="4" w:space="0" w:color="auto"/>
              <w:right w:val="nil"/>
            </w:tcBorders>
            <w:vAlign w:val="center"/>
          </w:tcPr>
          <w:p w:rsidR="004B417C" w:rsidRPr="00901310"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 w:val="20"/>
                <w:lang w:val="el-GR"/>
              </w:rPr>
            </w:pPr>
          </w:p>
        </w:tc>
        <w:tc>
          <w:tcPr>
            <w:tcW w:w="981" w:type="dxa"/>
            <w:tcBorders>
              <w:top w:val="double" w:sz="4" w:space="0" w:color="auto"/>
              <w:left w:val="nil"/>
              <w:bottom w:val="single" w:sz="4" w:space="0" w:color="auto"/>
              <w:right w:val="nil"/>
            </w:tcBorders>
            <w:vAlign w:val="center"/>
          </w:tcPr>
          <w:p w:rsidR="004B417C" w:rsidRPr="00901310"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 w:val="20"/>
                <w:lang w:val="el-GR"/>
              </w:rPr>
            </w:pPr>
          </w:p>
        </w:tc>
      </w:tr>
      <w:tr w:rsidR="004B417C" w:rsidRPr="004E3CFF">
        <w:trPr>
          <w:trHeight w:val="284"/>
        </w:trPr>
        <w:tc>
          <w:tcPr>
            <w:tcW w:w="3060" w:type="dxa"/>
            <w:tcBorders>
              <w:left w:val="nil"/>
              <w:right w:val="nil"/>
            </w:tcBorders>
            <w:noWrap/>
            <w:vAlign w:val="center"/>
          </w:tcPr>
          <w:p w:rsidR="004B417C" w:rsidRPr="00901310"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sz w:val="20"/>
              </w:rPr>
            </w:pPr>
            <w:r w:rsidRPr="00901310">
              <w:rPr>
                <w:b/>
                <w:sz w:val="20"/>
                <w:lang w:val="el-GR"/>
              </w:rPr>
              <w:t>Σύνολα 31.12.20</w:t>
            </w:r>
            <w:r w:rsidRPr="00901310">
              <w:rPr>
                <w:b/>
                <w:sz w:val="20"/>
              </w:rPr>
              <w:t>11</w:t>
            </w:r>
          </w:p>
        </w:tc>
        <w:tc>
          <w:tcPr>
            <w:tcW w:w="931" w:type="dxa"/>
            <w:tcBorders>
              <w:top w:val="single" w:sz="4" w:space="0" w:color="auto"/>
              <w:left w:val="nil"/>
              <w:bottom w:val="double" w:sz="4" w:space="0" w:color="auto"/>
              <w:right w:val="nil"/>
            </w:tcBorders>
            <w:vAlign w:val="center"/>
          </w:tcPr>
          <w:p w:rsidR="004B417C" w:rsidRPr="00901310"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 w:val="20"/>
                <w:lang w:val="el-GR"/>
              </w:rPr>
            </w:pPr>
            <w:r w:rsidRPr="00901310">
              <w:rPr>
                <w:b/>
                <w:sz w:val="20"/>
                <w:lang w:val="el-GR"/>
              </w:rPr>
              <w:t>-</w:t>
            </w:r>
          </w:p>
        </w:tc>
        <w:tc>
          <w:tcPr>
            <w:tcW w:w="711" w:type="dxa"/>
            <w:tcBorders>
              <w:top w:val="single" w:sz="4" w:space="0" w:color="auto"/>
              <w:left w:val="nil"/>
              <w:bottom w:val="double" w:sz="4" w:space="0" w:color="auto"/>
              <w:right w:val="nil"/>
            </w:tcBorders>
            <w:vAlign w:val="center"/>
          </w:tcPr>
          <w:p w:rsidR="004B417C" w:rsidRPr="00901310"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 w:val="20"/>
                <w:lang w:val="el-GR"/>
              </w:rPr>
            </w:pPr>
            <w:r w:rsidRPr="00901310">
              <w:rPr>
                <w:b/>
                <w:sz w:val="20"/>
                <w:lang w:val="el-GR"/>
              </w:rPr>
              <w:t>5.000</w:t>
            </w:r>
          </w:p>
        </w:tc>
        <w:tc>
          <w:tcPr>
            <w:tcW w:w="1078" w:type="dxa"/>
            <w:tcBorders>
              <w:top w:val="single" w:sz="4" w:space="0" w:color="auto"/>
              <w:left w:val="nil"/>
              <w:bottom w:val="double" w:sz="4" w:space="0" w:color="auto"/>
              <w:right w:val="nil"/>
            </w:tcBorders>
            <w:vAlign w:val="center"/>
          </w:tcPr>
          <w:p w:rsidR="004B417C" w:rsidRPr="00901310" w:rsidRDefault="004B417C" w:rsidP="00E100D4">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 w:val="20"/>
              </w:rPr>
            </w:pPr>
            <w:r w:rsidRPr="00901310">
              <w:rPr>
                <w:b/>
                <w:sz w:val="20"/>
                <w:lang w:val="el-GR"/>
              </w:rPr>
              <w:t>13.</w:t>
            </w:r>
            <w:r w:rsidRPr="00901310">
              <w:rPr>
                <w:b/>
                <w:sz w:val="20"/>
              </w:rPr>
              <w:t>399</w:t>
            </w:r>
          </w:p>
        </w:tc>
        <w:tc>
          <w:tcPr>
            <w:tcW w:w="1078" w:type="dxa"/>
            <w:tcBorders>
              <w:top w:val="single" w:sz="4" w:space="0" w:color="auto"/>
              <w:left w:val="nil"/>
              <w:bottom w:val="double" w:sz="4" w:space="0" w:color="auto"/>
              <w:right w:val="nil"/>
            </w:tcBorders>
            <w:vAlign w:val="center"/>
          </w:tcPr>
          <w:p w:rsidR="004B417C" w:rsidRPr="00901310"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 w:val="20"/>
              </w:rPr>
            </w:pPr>
            <w:r w:rsidRPr="00901310">
              <w:rPr>
                <w:b/>
                <w:sz w:val="20"/>
              </w:rPr>
              <w:t>177.743</w:t>
            </w:r>
          </w:p>
        </w:tc>
        <w:tc>
          <w:tcPr>
            <w:tcW w:w="931" w:type="dxa"/>
            <w:tcBorders>
              <w:top w:val="single" w:sz="4" w:space="0" w:color="auto"/>
              <w:left w:val="nil"/>
              <w:bottom w:val="double" w:sz="4" w:space="0" w:color="auto"/>
              <w:right w:val="nil"/>
            </w:tcBorders>
            <w:vAlign w:val="center"/>
          </w:tcPr>
          <w:p w:rsidR="004B417C" w:rsidRPr="00901310"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 w:val="20"/>
              </w:rPr>
            </w:pPr>
            <w:r w:rsidRPr="00901310">
              <w:rPr>
                <w:b/>
                <w:sz w:val="20"/>
              </w:rPr>
              <w:t>235.181</w:t>
            </w:r>
          </w:p>
        </w:tc>
        <w:tc>
          <w:tcPr>
            <w:tcW w:w="981" w:type="dxa"/>
            <w:tcBorders>
              <w:top w:val="single" w:sz="4" w:space="0" w:color="auto"/>
              <w:left w:val="nil"/>
              <w:bottom w:val="double" w:sz="4" w:space="0" w:color="auto"/>
              <w:right w:val="nil"/>
            </w:tcBorders>
            <w:vAlign w:val="center"/>
          </w:tcPr>
          <w:p w:rsidR="004B417C" w:rsidRPr="00901310" w:rsidRDefault="004B417C" w:rsidP="00C26F2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 w:val="20"/>
              </w:rPr>
            </w:pPr>
            <w:r w:rsidRPr="00901310">
              <w:rPr>
                <w:b/>
                <w:sz w:val="20"/>
              </w:rPr>
              <w:t>430.626</w:t>
            </w:r>
          </w:p>
        </w:tc>
      </w:tr>
    </w:tbl>
    <w:p w:rsidR="004B417C" w:rsidRPr="004E3CFF" w:rsidRDefault="004B417C">
      <w:pPr>
        <w:rPr>
          <w:b/>
          <w:bCs/>
          <w:color w:val="FF0000"/>
          <w:sz w:val="20"/>
          <w:lang w:val="el-GR"/>
        </w:rPr>
      </w:pPr>
    </w:p>
    <w:p w:rsidR="004B417C" w:rsidRDefault="004B417C">
      <w:pPr>
        <w:rPr>
          <w:b/>
          <w:bCs/>
          <w:sz w:val="20"/>
          <w:lang w:val="el-GR"/>
        </w:rPr>
      </w:pPr>
    </w:p>
    <w:p w:rsidR="004B417C" w:rsidRDefault="004B417C" w:rsidP="007130AE">
      <w:pPr>
        <w:pStyle w:val="Heading1"/>
        <w:keepLines/>
        <w:shd w:val="clear" w:color="auto" w:fill="auto"/>
        <w:spacing w:before="130" w:line="280" w:lineRule="atLeast"/>
        <w:rPr>
          <w:szCs w:val="22"/>
          <w:lang w:val="el-GR"/>
        </w:rPr>
      </w:pPr>
      <w:r>
        <w:rPr>
          <w:szCs w:val="22"/>
          <w:lang w:val="el-GR"/>
        </w:rPr>
        <w:t>23  Κεφαλαιακή Επάρκεια</w:t>
      </w:r>
    </w:p>
    <w:p w:rsidR="004B417C" w:rsidRDefault="004B417C" w:rsidP="007130AE">
      <w:pPr>
        <w:rPr>
          <w:lang w:val="el-GR"/>
        </w:rPr>
      </w:pPr>
    </w:p>
    <w:p w:rsidR="004B417C" w:rsidRDefault="004B417C" w:rsidP="007E205A">
      <w:pPr>
        <w:jc w:val="both"/>
        <w:rPr>
          <w:lang w:val="el-GR"/>
        </w:rPr>
      </w:pPr>
      <w:r>
        <w:rPr>
          <w:lang w:val="el-GR"/>
        </w:rPr>
        <w:t xml:space="preserve">Από τη </w:t>
      </w:r>
      <w:r w:rsidRPr="00677735">
        <w:rPr>
          <w:lang w:val="el-GR"/>
        </w:rPr>
        <w:t>χρήση του 2010 η Τράπεζα της Ελλάδος υποχρέωσε τις εταιρείες χρηματοδοτικής μίσθωσης στην υποβολή στοιχείων υπολογισμού του δείκτη κεφαλαιακής επάρκειας. Κατά την 31 Δεκεμβρίου 2012 ο δείκτης κεφαλαιακής επάρκειας ήταν αρνητικός.</w:t>
      </w:r>
    </w:p>
    <w:p w:rsidR="004B417C" w:rsidRDefault="004B417C" w:rsidP="007E205A">
      <w:pPr>
        <w:jc w:val="both"/>
        <w:rPr>
          <w:lang w:val="el-GR"/>
        </w:rPr>
      </w:pPr>
    </w:p>
    <w:p w:rsidR="004B417C" w:rsidRPr="00417A81" w:rsidRDefault="004B417C" w:rsidP="00B02E13">
      <w:pPr>
        <w:rPr>
          <w:b/>
          <w:color w:val="000000"/>
          <w:szCs w:val="22"/>
          <w:lang w:val="el-GR"/>
        </w:rPr>
      </w:pPr>
      <w:r>
        <w:rPr>
          <w:b/>
          <w:color w:val="000000"/>
          <w:szCs w:val="22"/>
          <w:lang w:val="el-GR"/>
        </w:rPr>
        <w:t>24</w:t>
      </w:r>
      <w:r w:rsidRPr="00417A81">
        <w:rPr>
          <w:b/>
          <w:color w:val="000000"/>
          <w:szCs w:val="22"/>
          <w:lang w:val="el-GR"/>
        </w:rPr>
        <w:t xml:space="preserve"> </w:t>
      </w:r>
      <w:r>
        <w:rPr>
          <w:b/>
          <w:color w:val="000000"/>
          <w:szCs w:val="22"/>
          <w:lang w:val="el-GR"/>
        </w:rPr>
        <w:t xml:space="preserve"> </w:t>
      </w:r>
      <w:r w:rsidRPr="00417A81">
        <w:rPr>
          <w:b/>
          <w:color w:val="000000"/>
          <w:szCs w:val="22"/>
          <w:lang w:val="el-GR"/>
        </w:rPr>
        <w:t>Μεταγενέστερα γεγονότα</w:t>
      </w:r>
    </w:p>
    <w:p w:rsidR="004B417C" w:rsidRPr="00417A81" w:rsidRDefault="004B417C" w:rsidP="00B02E13">
      <w:pPr>
        <w:rPr>
          <w:color w:val="000000"/>
          <w:szCs w:val="22"/>
          <w:lang w:val="el-GR"/>
        </w:rPr>
      </w:pPr>
    </w:p>
    <w:p w:rsidR="004B417C" w:rsidRDefault="004B417C" w:rsidP="0017255E">
      <w:pPr>
        <w:spacing w:line="240" w:lineRule="auto"/>
        <w:jc w:val="both"/>
        <w:rPr>
          <w:lang w:val="el-GR"/>
        </w:rPr>
      </w:pPr>
      <w:r w:rsidRPr="0055107A">
        <w:rPr>
          <w:color w:val="000000"/>
          <w:szCs w:val="22"/>
          <w:lang w:val="el-GR"/>
        </w:rPr>
        <w:t>Δεν υπάρχουν σημαντικά γεγονότα που συνέβησαν μεταγενέστερα της 31</w:t>
      </w:r>
      <w:r w:rsidRPr="0055107A">
        <w:rPr>
          <w:color w:val="000000"/>
          <w:szCs w:val="22"/>
          <w:vertAlign w:val="superscript"/>
          <w:lang w:val="el-GR"/>
        </w:rPr>
        <w:t>ης</w:t>
      </w:r>
      <w:r w:rsidRPr="0055107A">
        <w:rPr>
          <w:color w:val="000000"/>
          <w:szCs w:val="22"/>
          <w:lang w:val="el-GR"/>
        </w:rPr>
        <w:t xml:space="preserve"> Δεκεμβρίου 2012 τα οποία να επηρεάζουν τις παρούσες οικονομικές καταστάσεις και για τα οποία απαιτείται να πραγματοποιηθεί σχετική αναφορά, πέραν της απόφασης της Έκτακτης Γενικής Συνέλευσης των Μετόχων της Εταιρείας </w:t>
      </w:r>
      <w:r>
        <w:rPr>
          <w:color w:val="000000"/>
          <w:szCs w:val="22"/>
          <w:lang w:val="el-GR"/>
        </w:rPr>
        <w:t>της 14</w:t>
      </w:r>
      <w:r w:rsidRPr="0055107A">
        <w:rPr>
          <w:color w:val="000000"/>
          <w:szCs w:val="22"/>
          <w:vertAlign w:val="superscript"/>
          <w:lang w:val="el-GR"/>
        </w:rPr>
        <w:t>ης</w:t>
      </w:r>
      <w:r>
        <w:rPr>
          <w:color w:val="000000"/>
          <w:szCs w:val="22"/>
          <w:lang w:val="el-GR"/>
        </w:rPr>
        <w:t xml:space="preserve"> Ιανουαρίου 2013 </w:t>
      </w:r>
      <w:r w:rsidRPr="0055107A">
        <w:rPr>
          <w:lang w:val="el-GR"/>
        </w:rPr>
        <w:t>να μη συζητηθεί</w:t>
      </w:r>
      <w:r>
        <w:rPr>
          <w:lang w:val="el-GR"/>
        </w:rPr>
        <w:t xml:space="preserve"> και ληφθεί απόφαση επί των θεμάτων </w:t>
      </w:r>
      <w:r>
        <w:rPr>
          <w:color w:val="000000"/>
          <w:szCs w:val="22"/>
          <w:lang w:val="el-GR"/>
        </w:rPr>
        <w:t xml:space="preserve">για </w:t>
      </w:r>
      <w:r>
        <w:rPr>
          <w:lang w:val="el-GR"/>
        </w:rPr>
        <w:t xml:space="preserve">λύση, θέση της Εταιρείας σε εκκαθάριση και διορισμός Εκκαθαριστών της Εταιρείας και τα οποία θα συζητηθούν και ληφθούν αποφάσεις εν ευθέτω χρόνο σε άλλη συνεδρίαση Έκτακτης Γενικής Συνέλευσης. </w:t>
      </w:r>
    </w:p>
    <w:p w:rsidR="004B417C" w:rsidRPr="000F32DF" w:rsidRDefault="004B417C" w:rsidP="000F32DF">
      <w:pPr>
        <w:spacing w:line="240" w:lineRule="auto"/>
        <w:jc w:val="both"/>
        <w:rPr>
          <w:lang w:val="el-GR"/>
        </w:rPr>
      </w:pPr>
      <w:r>
        <w:rPr>
          <w:lang w:val="el-GR"/>
        </w:rPr>
        <w:t xml:space="preserve">  </w:t>
      </w:r>
    </w:p>
    <w:p w:rsidR="004B417C" w:rsidRDefault="004B417C">
      <w:pPr>
        <w:ind w:right="281"/>
        <w:jc w:val="center"/>
        <w:rPr>
          <w:lang w:val="el-GR"/>
        </w:rPr>
      </w:pPr>
      <w:r>
        <w:rPr>
          <w:lang w:val="el-GR"/>
        </w:rPr>
        <w:t>--------------------------------------------------------------------------------------------------------</w:t>
      </w:r>
    </w:p>
    <w:p w:rsidR="004B417C" w:rsidRDefault="004B417C">
      <w:pPr>
        <w:ind w:right="281"/>
        <w:jc w:val="center"/>
        <w:rPr>
          <w:lang w:val="el-GR"/>
        </w:rPr>
      </w:pPr>
    </w:p>
    <w:p w:rsidR="004B417C" w:rsidRPr="000F32DF" w:rsidRDefault="004B417C" w:rsidP="00193AB7">
      <w:pPr>
        <w:pStyle w:val="BlockText"/>
        <w:ind w:left="0" w:right="282"/>
        <w:jc w:val="center"/>
        <w:rPr>
          <w:sz w:val="22"/>
          <w:szCs w:val="22"/>
        </w:rPr>
      </w:pPr>
      <w:r w:rsidRPr="00AD7BD1">
        <w:rPr>
          <w:sz w:val="22"/>
          <w:szCs w:val="22"/>
        </w:rPr>
        <w:t xml:space="preserve">Αθήνα, </w:t>
      </w:r>
      <w:r>
        <w:rPr>
          <w:sz w:val="22"/>
          <w:szCs w:val="22"/>
        </w:rPr>
        <w:t>26 Απριλίου</w:t>
      </w:r>
      <w:r w:rsidRPr="00AD7BD1">
        <w:rPr>
          <w:sz w:val="22"/>
          <w:szCs w:val="22"/>
        </w:rPr>
        <w:t xml:space="preserve"> 201</w:t>
      </w:r>
      <w:r>
        <w:rPr>
          <w:sz w:val="22"/>
          <w:szCs w:val="22"/>
        </w:rPr>
        <w:t>3</w:t>
      </w:r>
    </w:p>
    <w:tbl>
      <w:tblPr>
        <w:tblpPr w:leftFromText="180" w:rightFromText="180" w:vertAnchor="text" w:horzAnchor="margin" w:tblpXSpec="center" w:tblpY="398"/>
        <w:tblW w:w="8964" w:type="dxa"/>
        <w:tblLook w:val="0000"/>
      </w:tblPr>
      <w:tblGrid>
        <w:gridCol w:w="2484"/>
        <w:gridCol w:w="1793"/>
        <w:gridCol w:w="2491"/>
        <w:gridCol w:w="2196"/>
      </w:tblGrid>
      <w:tr w:rsidR="004B417C" w:rsidRPr="000F32DF">
        <w:tc>
          <w:tcPr>
            <w:tcW w:w="2484" w:type="dxa"/>
          </w:tcPr>
          <w:p w:rsidR="004B417C" w:rsidRPr="002C4F42" w:rsidRDefault="004B417C">
            <w:pPr>
              <w:pStyle w:val="xl38"/>
              <w:pBdr>
                <w:bottom w:val="none" w:sz="0" w:space="0" w:color="auto"/>
              </w:pBdr>
              <w:spacing w:before="0" w:beforeAutospacing="0" w:after="0" w:afterAutospacing="0" w:line="360" w:lineRule="auto"/>
              <w:jc w:val="center"/>
              <w:rPr>
                <w:rFonts w:eastAsia="Times New Roman" w:cs="Times New Roman"/>
                <w:b w:val="0"/>
                <w:caps/>
                <w:sz w:val="20"/>
                <w:lang w:eastAsia="en-US"/>
              </w:rPr>
            </w:pPr>
            <w:r w:rsidRPr="002C4F42">
              <w:rPr>
                <w:rFonts w:eastAsia="Times New Roman" w:cs="Times New Roman"/>
                <w:b w:val="0"/>
                <w:caps/>
                <w:sz w:val="20"/>
                <w:lang w:eastAsia="en-US"/>
              </w:rPr>
              <w:t>Ο ΠΡΟΕΔΡΟΣ ΤΟΥ Δ.Σ.</w:t>
            </w:r>
          </w:p>
        </w:tc>
        <w:tc>
          <w:tcPr>
            <w:tcW w:w="1793" w:type="dxa"/>
          </w:tcPr>
          <w:p w:rsidR="004B417C" w:rsidRPr="002C4F42" w:rsidRDefault="004B417C">
            <w:pPr>
              <w:pStyle w:val="xl38"/>
              <w:pBdr>
                <w:bottom w:val="none" w:sz="0" w:space="0" w:color="auto"/>
              </w:pBdr>
              <w:spacing w:before="0" w:beforeAutospacing="0" w:after="0" w:afterAutospacing="0" w:line="360" w:lineRule="auto"/>
              <w:jc w:val="center"/>
              <w:rPr>
                <w:rFonts w:eastAsia="Times New Roman" w:cs="Times New Roman"/>
                <w:b w:val="0"/>
                <w:caps/>
                <w:sz w:val="20"/>
                <w:lang w:eastAsia="en-US"/>
              </w:rPr>
            </w:pPr>
            <w:r w:rsidRPr="002C4F42">
              <w:rPr>
                <w:rFonts w:eastAsia="Times New Roman" w:cs="Times New Roman"/>
                <w:b w:val="0"/>
                <w:caps/>
                <w:sz w:val="20"/>
                <w:lang w:eastAsia="en-US"/>
              </w:rPr>
              <w:t>Ο ΔΙΕΥΘΥΝΩΝ ΣΥΜΒΟΥΛΟΣ</w:t>
            </w:r>
          </w:p>
        </w:tc>
        <w:tc>
          <w:tcPr>
            <w:tcW w:w="2491" w:type="dxa"/>
          </w:tcPr>
          <w:p w:rsidR="004B417C" w:rsidRPr="002C4F42" w:rsidRDefault="004B417C">
            <w:pPr>
              <w:pStyle w:val="xl38"/>
              <w:pBdr>
                <w:bottom w:val="none" w:sz="0" w:space="0" w:color="auto"/>
              </w:pBdr>
              <w:spacing w:before="0" w:beforeAutospacing="0" w:after="0" w:afterAutospacing="0" w:line="360" w:lineRule="auto"/>
              <w:jc w:val="center"/>
              <w:rPr>
                <w:rFonts w:eastAsia="Times New Roman" w:cs="Times New Roman"/>
                <w:b w:val="0"/>
                <w:caps/>
                <w:sz w:val="20"/>
                <w:lang w:eastAsia="en-US"/>
              </w:rPr>
            </w:pPr>
            <w:r w:rsidRPr="002C4F42">
              <w:rPr>
                <w:rFonts w:eastAsia="Times New Roman" w:cs="Times New Roman"/>
                <w:b w:val="0"/>
                <w:caps/>
                <w:sz w:val="20"/>
                <w:lang w:eastAsia="en-US"/>
              </w:rPr>
              <w:t>Ο Διευθυντής των</w:t>
            </w:r>
          </w:p>
          <w:p w:rsidR="004B417C" w:rsidRPr="002C4F42" w:rsidRDefault="004B417C">
            <w:pPr>
              <w:pStyle w:val="xl38"/>
              <w:pBdr>
                <w:bottom w:val="none" w:sz="0" w:space="0" w:color="auto"/>
              </w:pBdr>
              <w:spacing w:before="0" w:beforeAutospacing="0" w:after="0" w:afterAutospacing="0" w:line="360" w:lineRule="auto"/>
              <w:jc w:val="center"/>
              <w:rPr>
                <w:rFonts w:eastAsia="Times New Roman" w:cs="Times New Roman"/>
                <w:b w:val="0"/>
                <w:caps/>
                <w:sz w:val="20"/>
                <w:lang w:eastAsia="en-US"/>
              </w:rPr>
            </w:pPr>
            <w:r w:rsidRPr="002C4F42">
              <w:rPr>
                <w:rFonts w:eastAsia="Times New Roman" w:cs="Times New Roman"/>
                <w:b w:val="0"/>
                <w:caps/>
                <w:sz w:val="20"/>
                <w:lang w:eastAsia="en-US"/>
              </w:rPr>
              <w:t>Οικονομικών Υπηρεσιών</w:t>
            </w:r>
          </w:p>
        </w:tc>
        <w:tc>
          <w:tcPr>
            <w:tcW w:w="2196" w:type="dxa"/>
          </w:tcPr>
          <w:p w:rsidR="004B417C" w:rsidRPr="002C4F42" w:rsidRDefault="004B417C">
            <w:pPr>
              <w:pStyle w:val="xl38"/>
              <w:pBdr>
                <w:bottom w:val="none" w:sz="0" w:space="0" w:color="auto"/>
              </w:pBdr>
              <w:spacing w:before="0" w:beforeAutospacing="0" w:after="0" w:afterAutospacing="0" w:line="360" w:lineRule="auto"/>
              <w:jc w:val="center"/>
              <w:rPr>
                <w:rFonts w:eastAsia="Times New Roman" w:cs="Times New Roman"/>
                <w:b w:val="0"/>
                <w:caps/>
                <w:sz w:val="20"/>
                <w:lang w:eastAsia="en-US"/>
              </w:rPr>
            </w:pPr>
            <w:r w:rsidRPr="002C4F42">
              <w:rPr>
                <w:rFonts w:eastAsia="Times New Roman" w:cs="Times New Roman"/>
                <w:b w:val="0"/>
                <w:caps/>
                <w:sz w:val="20"/>
                <w:lang w:val="en-US" w:eastAsia="en-US"/>
              </w:rPr>
              <w:t>o</w:t>
            </w:r>
            <w:r w:rsidRPr="002C4F42">
              <w:rPr>
                <w:rFonts w:eastAsia="Times New Roman" w:cs="Times New Roman"/>
                <w:b w:val="0"/>
                <w:caps/>
                <w:sz w:val="20"/>
                <w:lang w:eastAsia="en-US"/>
              </w:rPr>
              <w:t xml:space="preserve"> προΪσταμενοσ λογιστηριου</w:t>
            </w:r>
          </w:p>
        </w:tc>
      </w:tr>
      <w:tr w:rsidR="004B417C" w:rsidRPr="000F32DF">
        <w:tc>
          <w:tcPr>
            <w:tcW w:w="2484" w:type="dxa"/>
          </w:tcPr>
          <w:p w:rsidR="004B417C" w:rsidRPr="002C4F42" w:rsidRDefault="004B417C">
            <w:pPr>
              <w:pStyle w:val="xl38"/>
              <w:pBdr>
                <w:bottom w:val="none" w:sz="0" w:space="0" w:color="auto"/>
              </w:pBdr>
              <w:spacing w:before="0" w:beforeAutospacing="0" w:after="0" w:afterAutospacing="0" w:line="360" w:lineRule="auto"/>
              <w:jc w:val="center"/>
              <w:rPr>
                <w:rFonts w:eastAsia="Times New Roman" w:cs="Times New Roman"/>
                <w:b w:val="0"/>
                <w:sz w:val="20"/>
                <w:lang w:eastAsia="en-US"/>
              </w:rPr>
            </w:pPr>
          </w:p>
        </w:tc>
        <w:tc>
          <w:tcPr>
            <w:tcW w:w="1793" w:type="dxa"/>
          </w:tcPr>
          <w:p w:rsidR="004B417C" w:rsidRPr="002C4F42" w:rsidRDefault="004B417C">
            <w:pPr>
              <w:pStyle w:val="xl38"/>
              <w:pBdr>
                <w:bottom w:val="none" w:sz="0" w:space="0" w:color="auto"/>
              </w:pBdr>
              <w:spacing w:before="0" w:beforeAutospacing="0" w:after="0" w:afterAutospacing="0" w:line="360" w:lineRule="auto"/>
              <w:jc w:val="center"/>
              <w:rPr>
                <w:rFonts w:eastAsia="Times New Roman" w:cs="Times New Roman"/>
                <w:b w:val="0"/>
                <w:sz w:val="20"/>
                <w:lang w:eastAsia="en-US"/>
              </w:rPr>
            </w:pPr>
          </w:p>
        </w:tc>
        <w:tc>
          <w:tcPr>
            <w:tcW w:w="2491" w:type="dxa"/>
          </w:tcPr>
          <w:p w:rsidR="004B417C" w:rsidRPr="002C4F42" w:rsidRDefault="004B417C">
            <w:pPr>
              <w:pStyle w:val="xl38"/>
              <w:pBdr>
                <w:bottom w:val="none" w:sz="0" w:space="0" w:color="auto"/>
              </w:pBdr>
              <w:spacing w:before="0" w:beforeAutospacing="0" w:after="0" w:afterAutospacing="0" w:line="360" w:lineRule="auto"/>
              <w:jc w:val="center"/>
              <w:rPr>
                <w:rFonts w:eastAsia="Times New Roman" w:cs="Times New Roman"/>
                <w:b w:val="0"/>
                <w:sz w:val="20"/>
                <w:lang w:eastAsia="en-US"/>
              </w:rPr>
            </w:pPr>
          </w:p>
        </w:tc>
        <w:tc>
          <w:tcPr>
            <w:tcW w:w="2196" w:type="dxa"/>
          </w:tcPr>
          <w:p w:rsidR="004B417C" w:rsidRPr="002C4F42" w:rsidRDefault="004B417C">
            <w:pPr>
              <w:pStyle w:val="xl38"/>
              <w:pBdr>
                <w:bottom w:val="none" w:sz="0" w:space="0" w:color="auto"/>
              </w:pBdr>
              <w:spacing w:before="0" w:beforeAutospacing="0" w:after="0" w:afterAutospacing="0" w:line="360" w:lineRule="auto"/>
              <w:jc w:val="center"/>
              <w:rPr>
                <w:rFonts w:eastAsia="Times New Roman" w:cs="Times New Roman"/>
                <w:b w:val="0"/>
                <w:sz w:val="20"/>
                <w:lang w:eastAsia="en-US"/>
              </w:rPr>
            </w:pPr>
          </w:p>
        </w:tc>
      </w:tr>
      <w:tr w:rsidR="004B417C" w:rsidRPr="000F32DF">
        <w:tc>
          <w:tcPr>
            <w:tcW w:w="2484" w:type="dxa"/>
          </w:tcPr>
          <w:p w:rsidR="004B417C" w:rsidRPr="002C4F42" w:rsidRDefault="004B417C">
            <w:pPr>
              <w:pStyle w:val="xl38"/>
              <w:pBdr>
                <w:bottom w:val="none" w:sz="0" w:space="0" w:color="auto"/>
              </w:pBdr>
              <w:spacing w:before="0" w:beforeAutospacing="0" w:after="0" w:afterAutospacing="0" w:line="360" w:lineRule="auto"/>
              <w:jc w:val="center"/>
              <w:rPr>
                <w:rFonts w:eastAsia="Times New Roman" w:cs="Times New Roman"/>
                <w:b w:val="0"/>
                <w:sz w:val="20"/>
                <w:lang w:eastAsia="en-US"/>
              </w:rPr>
            </w:pPr>
          </w:p>
        </w:tc>
        <w:tc>
          <w:tcPr>
            <w:tcW w:w="1793" w:type="dxa"/>
          </w:tcPr>
          <w:p w:rsidR="004B417C" w:rsidRPr="002C4F42" w:rsidRDefault="004B417C">
            <w:pPr>
              <w:pStyle w:val="xl38"/>
              <w:pBdr>
                <w:bottom w:val="none" w:sz="0" w:space="0" w:color="auto"/>
              </w:pBdr>
              <w:spacing w:before="0" w:beforeAutospacing="0" w:after="0" w:afterAutospacing="0" w:line="360" w:lineRule="auto"/>
              <w:jc w:val="center"/>
              <w:rPr>
                <w:rFonts w:eastAsia="Times New Roman" w:cs="Times New Roman"/>
                <w:b w:val="0"/>
                <w:sz w:val="20"/>
                <w:lang w:eastAsia="en-US"/>
              </w:rPr>
            </w:pPr>
          </w:p>
        </w:tc>
        <w:tc>
          <w:tcPr>
            <w:tcW w:w="2491" w:type="dxa"/>
          </w:tcPr>
          <w:p w:rsidR="004B417C" w:rsidRPr="002C4F42" w:rsidRDefault="004B417C">
            <w:pPr>
              <w:pStyle w:val="xl38"/>
              <w:pBdr>
                <w:bottom w:val="none" w:sz="0" w:space="0" w:color="auto"/>
              </w:pBdr>
              <w:spacing w:before="0" w:beforeAutospacing="0" w:after="0" w:afterAutospacing="0" w:line="360" w:lineRule="auto"/>
              <w:jc w:val="center"/>
              <w:rPr>
                <w:rFonts w:eastAsia="Times New Roman" w:cs="Times New Roman"/>
                <w:b w:val="0"/>
                <w:sz w:val="20"/>
                <w:lang w:eastAsia="en-US"/>
              </w:rPr>
            </w:pPr>
          </w:p>
        </w:tc>
        <w:tc>
          <w:tcPr>
            <w:tcW w:w="2196" w:type="dxa"/>
          </w:tcPr>
          <w:p w:rsidR="004B417C" w:rsidRPr="002C4F42" w:rsidRDefault="004B417C">
            <w:pPr>
              <w:pStyle w:val="xl38"/>
              <w:pBdr>
                <w:bottom w:val="none" w:sz="0" w:space="0" w:color="auto"/>
              </w:pBdr>
              <w:spacing w:before="0" w:beforeAutospacing="0" w:after="0" w:afterAutospacing="0" w:line="360" w:lineRule="auto"/>
              <w:jc w:val="center"/>
              <w:rPr>
                <w:rFonts w:eastAsia="Times New Roman" w:cs="Times New Roman"/>
                <w:b w:val="0"/>
                <w:sz w:val="20"/>
                <w:lang w:eastAsia="en-US"/>
              </w:rPr>
            </w:pPr>
          </w:p>
        </w:tc>
      </w:tr>
      <w:tr w:rsidR="004B417C" w:rsidRPr="000F32DF">
        <w:tc>
          <w:tcPr>
            <w:tcW w:w="2484" w:type="dxa"/>
          </w:tcPr>
          <w:p w:rsidR="004B417C" w:rsidRPr="002C4F42" w:rsidRDefault="004B417C">
            <w:pPr>
              <w:pStyle w:val="xl38"/>
              <w:pBdr>
                <w:bottom w:val="none" w:sz="0" w:space="0" w:color="auto"/>
              </w:pBdr>
              <w:spacing w:before="0" w:beforeAutospacing="0" w:after="0" w:afterAutospacing="0" w:line="360" w:lineRule="auto"/>
              <w:jc w:val="center"/>
              <w:rPr>
                <w:rFonts w:eastAsia="Times New Roman" w:cs="Times New Roman"/>
                <w:b w:val="0"/>
                <w:sz w:val="20"/>
                <w:lang w:eastAsia="en-US"/>
              </w:rPr>
            </w:pPr>
            <w:r w:rsidRPr="002C4F42">
              <w:rPr>
                <w:rFonts w:eastAsia="Times New Roman" w:cs="Times New Roman"/>
                <w:b w:val="0"/>
                <w:sz w:val="20"/>
                <w:lang w:eastAsia="en-US"/>
              </w:rPr>
              <w:t>ΗΛΙΑΣ</w:t>
            </w:r>
          </w:p>
          <w:p w:rsidR="004B417C" w:rsidRPr="002C4F42" w:rsidRDefault="004B417C">
            <w:pPr>
              <w:pStyle w:val="xl38"/>
              <w:pBdr>
                <w:bottom w:val="none" w:sz="0" w:space="0" w:color="auto"/>
              </w:pBdr>
              <w:spacing w:before="0" w:beforeAutospacing="0" w:after="0" w:afterAutospacing="0" w:line="360" w:lineRule="auto"/>
              <w:jc w:val="center"/>
              <w:rPr>
                <w:rFonts w:eastAsia="Times New Roman" w:cs="Times New Roman"/>
                <w:b w:val="0"/>
                <w:sz w:val="20"/>
                <w:lang w:eastAsia="en-US"/>
              </w:rPr>
            </w:pPr>
            <w:r w:rsidRPr="002C4F42">
              <w:rPr>
                <w:rFonts w:eastAsia="Times New Roman" w:cs="Times New Roman"/>
                <w:b w:val="0"/>
                <w:sz w:val="20"/>
                <w:lang w:eastAsia="en-US"/>
              </w:rPr>
              <w:t>ΜΠΕΤΣΗΣ</w:t>
            </w:r>
          </w:p>
        </w:tc>
        <w:tc>
          <w:tcPr>
            <w:tcW w:w="1793" w:type="dxa"/>
          </w:tcPr>
          <w:p w:rsidR="004B417C" w:rsidRPr="002C4F42" w:rsidRDefault="004B417C">
            <w:pPr>
              <w:pStyle w:val="xl38"/>
              <w:pBdr>
                <w:bottom w:val="none" w:sz="0" w:space="0" w:color="auto"/>
              </w:pBdr>
              <w:spacing w:before="0" w:beforeAutospacing="0" w:after="0" w:afterAutospacing="0" w:line="360" w:lineRule="auto"/>
              <w:jc w:val="center"/>
              <w:rPr>
                <w:rFonts w:eastAsia="Times New Roman" w:cs="Times New Roman"/>
                <w:b w:val="0"/>
                <w:caps/>
                <w:sz w:val="20"/>
                <w:lang w:eastAsia="en-US"/>
              </w:rPr>
            </w:pPr>
            <w:r w:rsidRPr="002C4F42">
              <w:rPr>
                <w:rFonts w:eastAsia="Times New Roman" w:cs="Times New Roman"/>
                <w:b w:val="0"/>
                <w:caps/>
                <w:sz w:val="20"/>
                <w:lang w:eastAsia="en-US"/>
              </w:rPr>
              <w:t>ΠΕΤΡΟΣ</w:t>
            </w:r>
          </w:p>
          <w:p w:rsidR="004B417C" w:rsidRPr="002C4F42" w:rsidRDefault="004B417C">
            <w:pPr>
              <w:pStyle w:val="xl38"/>
              <w:pBdr>
                <w:bottom w:val="none" w:sz="0" w:space="0" w:color="auto"/>
              </w:pBdr>
              <w:spacing w:before="0" w:beforeAutospacing="0" w:after="0" w:afterAutospacing="0" w:line="360" w:lineRule="auto"/>
              <w:jc w:val="center"/>
              <w:rPr>
                <w:rFonts w:eastAsia="Times New Roman" w:cs="Times New Roman"/>
                <w:b w:val="0"/>
                <w:caps/>
                <w:sz w:val="20"/>
                <w:lang w:eastAsia="en-US"/>
              </w:rPr>
            </w:pPr>
            <w:r w:rsidRPr="002C4F42">
              <w:rPr>
                <w:rFonts w:eastAsia="Times New Roman" w:cs="Times New Roman"/>
                <w:b w:val="0"/>
                <w:caps/>
                <w:sz w:val="20"/>
                <w:lang w:eastAsia="en-US"/>
              </w:rPr>
              <w:t>ΠΑΡΑΔΕΙΣΗΣ</w:t>
            </w:r>
          </w:p>
        </w:tc>
        <w:tc>
          <w:tcPr>
            <w:tcW w:w="2491" w:type="dxa"/>
          </w:tcPr>
          <w:p w:rsidR="004B417C" w:rsidRPr="002C4F42" w:rsidRDefault="004B417C">
            <w:pPr>
              <w:pStyle w:val="xl38"/>
              <w:pBdr>
                <w:bottom w:val="none" w:sz="0" w:space="0" w:color="auto"/>
              </w:pBdr>
              <w:spacing w:before="0" w:beforeAutospacing="0" w:after="0" w:afterAutospacing="0" w:line="360" w:lineRule="auto"/>
              <w:jc w:val="center"/>
              <w:rPr>
                <w:rFonts w:eastAsia="Times New Roman" w:cs="Times New Roman"/>
                <w:b w:val="0"/>
                <w:caps/>
                <w:sz w:val="20"/>
                <w:lang w:eastAsia="en-US"/>
              </w:rPr>
            </w:pPr>
            <w:r w:rsidRPr="002C4F42">
              <w:rPr>
                <w:rFonts w:eastAsia="Times New Roman" w:cs="Times New Roman"/>
                <w:b w:val="0"/>
                <w:caps/>
                <w:sz w:val="20"/>
                <w:lang w:eastAsia="en-US"/>
              </w:rPr>
              <w:br/>
              <w:t>ΓΕΩΡΓΙΟΣ ΣΤΑΧΙΚΑΣ</w:t>
            </w:r>
          </w:p>
        </w:tc>
        <w:tc>
          <w:tcPr>
            <w:tcW w:w="2196" w:type="dxa"/>
          </w:tcPr>
          <w:p w:rsidR="004B417C" w:rsidRPr="002C4F42" w:rsidRDefault="004B417C">
            <w:pPr>
              <w:pStyle w:val="xl38"/>
              <w:pBdr>
                <w:bottom w:val="none" w:sz="0" w:space="0" w:color="auto"/>
              </w:pBdr>
              <w:spacing w:before="0" w:beforeAutospacing="0" w:after="0" w:afterAutospacing="0" w:line="360" w:lineRule="auto"/>
              <w:ind w:hanging="360"/>
              <w:jc w:val="center"/>
              <w:rPr>
                <w:rFonts w:eastAsia="Times New Roman" w:cs="Times New Roman"/>
                <w:b w:val="0"/>
                <w:caps/>
                <w:sz w:val="20"/>
                <w:lang w:eastAsia="en-US"/>
              </w:rPr>
            </w:pPr>
            <w:r w:rsidRPr="002C4F42">
              <w:rPr>
                <w:rFonts w:eastAsia="Times New Roman" w:cs="Times New Roman"/>
                <w:b w:val="0"/>
                <w:caps/>
                <w:sz w:val="20"/>
                <w:lang w:eastAsia="en-US"/>
              </w:rPr>
              <w:br/>
              <w:t>δημητριοσ τασιοσ</w:t>
            </w:r>
          </w:p>
        </w:tc>
      </w:tr>
    </w:tbl>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360" w:lineRule="auto"/>
        <w:jc w:val="center"/>
        <w:rPr>
          <w:b/>
          <w:sz w:val="20"/>
          <w:lang w:val="el-GR"/>
        </w:rPr>
      </w:pPr>
    </w:p>
    <w:p w:rsidR="004B417C" w:rsidRDefault="004B4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360" w:lineRule="auto"/>
        <w:jc w:val="center"/>
        <w:rPr>
          <w:b/>
          <w:sz w:val="20"/>
          <w:lang w:val="el-GR"/>
        </w:rPr>
      </w:pPr>
    </w:p>
    <w:sectPr w:rsidR="004B417C" w:rsidSect="003C2216">
      <w:headerReference w:type="default" r:id="rId25"/>
      <w:headerReference w:type="first" r:id="rId26"/>
      <w:type w:val="oddPage"/>
      <w:pgSz w:w="11906" w:h="16838" w:code="9"/>
      <w:pgMar w:top="1134" w:right="1985" w:bottom="993" w:left="1985" w:header="482" w:footer="38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390" w:rsidRDefault="00E14390">
      <w:r>
        <w:separator/>
      </w:r>
    </w:p>
  </w:endnote>
  <w:endnote w:type="continuationSeparator" w:id="0">
    <w:p w:rsidR="00E14390" w:rsidRDefault="00E143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Univers 45 Light">
    <w:charset w:val="00"/>
    <w:family w:val="auto"/>
    <w:pitch w:val="variable"/>
    <w:sig w:usb0="8000002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D0D" w:rsidRDefault="00816D0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D0D" w:rsidRDefault="00816D0D">
    <w:pPr>
      <w:pStyle w:val="Footer"/>
      <w:jc w:val="center"/>
      <w:rPr>
        <w:sz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D0D" w:rsidRDefault="005C3048">
    <w:pPr>
      <w:pStyle w:val="Footer"/>
      <w:framePr w:wrap="around" w:vAnchor="text" w:hAnchor="margin" w:xAlign="right" w:y="1"/>
      <w:rPr>
        <w:rStyle w:val="PageNumber"/>
      </w:rPr>
    </w:pPr>
    <w:r>
      <w:rPr>
        <w:rStyle w:val="PageNumber"/>
      </w:rPr>
      <w:fldChar w:fldCharType="begin"/>
    </w:r>
    <w:r w:rsidR="00816D0D">
      <w:rPr>
        <w:rStyle w:val="PageNumber"/>
      </w:rPr>
      <w:instrText xml:space="preserve">PAGE  </w:instrText>
    </w:r>
    <w:r>
      <w:rPr>
        <w:rStyle w:val="PageNumber"/>
      </w:rPr>
      <w:fldChar w:fldCharType="separate"/>
    </w:r>
    <w:r w:rsidR="00816D0D">
      <w:rPr>
        <w:rStyle w:val="PageNumber"/>
        <w:noProof/>
      </w:rPr>
      <w:t>30</w:t>
    </w:r>
    <w:r>
      <w:rPr>
        <w:rStyle w:val="PageNumber"/>
      </w:rPr>
      <w:fldChar w:fldCharType="end"/>
    </w:r>
  </w:p>
  <w:p w:rsidR="00816D0D" w:rsidRDefault="00816D0D">
    <w:pPr>
      <w:pStyle w:val="Footer"/>
      <w:ind w:right="360"/>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D0D" w:rsidRDefault="00816D0D">
    <w:pPr>
      <w:pStyle w:val="Footer"/>
      <w:jc w:val="center"/>
      <w:rPr>
        <w:sz w:val="16"/>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D0D" w:rsidRDefault="005C3048">
    <w:pPr>
      <w:pStyle w:val="Footer"/>
      <w:framePr w:wrap="around" w:vAnchor="text" w:hAnchor="margin" w:xAlign="right" w:y="1"/>
      <w:rPr>
        <w:rStyle w:val="PageNumber"/>
      </w:rPr>
    </w:pPr>
    <w:r>
      <w:rPr>
        <w:rStyle w:val="PageNumber"/>
      </w:rPr>
      <w:fldChar w:fldCharType="begin"/>
    </w:r>
    <w:r w:rsidR="00816D0D">
      <w:rPr>
        <w:rStyle w:val="PageNumber"/>
      </w:rPr>
      <w:instrText xml:space="preserve">PAGE  </w:instrText>
    </w:r>
    <w:r>
      <w:rPr>
        <w:rStyle w:val="PageNumber"/>
      </w:rPr>
      <w:fldChar w:fldCharType="separate"/>
    </w:r>
    <w:r w:rsidR="00816D0D">
      <w:rPr>
        <w:rStyle w:val="PageNumber"/>
        <w:noProof/>
      </w:rPr>
      <w:t>29</w:t>
    </w:r>
    <w:r>
      <w:rPr>
        <w:rStyle w:val="PageNumber"/>
      </w:rPr>
      <w:fldChar w:fldCharType="end"/>
    </w:r>
  </w:p>
  <w:p w:rsidR="00816D0D" w:rsidRDefault="00816D0D">
    <w:pPr>
      <w:pStyle w:val="Footer"/>
      <w:ind w:right="360"/>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D0D" w:rsidRDefault="00816D0D">
    <w:pPr>
      <w:pStyle w:val="Footer"/>
      <w:tabs>
        <w:tab w:val="clear" w:pos="4536"/>
        <w:tab w:val="clear" w:pos="4678"/>
        <w:tab w:val="clear" w:pos="5387"/>
        <w:tab w:val="clear" w:pos="5613"/>
        <w:tab w:val="clear" w:pos="6322"/>
        <w:tab w:val="clear" w:pos="6549"/>
        <w:tab w:val="clear" w:pos="9072"/>
        <w:tab w:val="left" w:pos="4275"/>
        <w:tab w:val="center" w:pos="4535"/>
        <w:tab w:val="left" w:pos="5100"/>
      </w:tabs>
      <w:rPr>
        <w:sz w:val="16"/>
        <w:lang w:val="el-GR"/>
      </w:rPr>
    </w:pP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sidR="005C3048">
      <w:rPr>
        <w:rStyle w:val="PageNumber"/>
      </w:rPr>
      <w:fldChar w:fldCharType="begin"/>
    </w:r>
    <w:r>
      <w:rPr>
        <w:rStyle w:val="PageNumber"/>
      </w:rPr>
      <w:instrText xml:space="preserve"> PAGE </w:instrText>
    </w:r>
    <w:r w:rsidR="005C3048">
      <w:rPr>
        <w:rStyle w:val="PageNumber"/>
      </w:rPr>
      <w:fldChar w:fldCharType="separate"/>
    </w:r>
    <w:r w:rsidR="00645550">
      <w:rPr>
        <w:rStyle w:val="PageNumber"/>
        <w:noProof/>
      </w:rPr>
      <w:t>30</w:t>
    </w:r>
    <w:r w:rsidR="005C3048">
      <w:rPr>
        <w:rStyle w:val="PageNumber"/>
      </w:rPr>
      <w:fldChar w:fldCharType="end"/>
    </w:r>
    <w:r>
      <w:rPr>
        <w:rStyle w:val="PageNumber"/>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390" w:rsidRDefault="00E14390">
      <w:r>
        <w:separator/>
      </w:r>
    </w:p>
  </w:footnote>
  <w:footnote w:type="continuationSeparator" w:id="0">
    <w:p w:rsidR="00E14390" w:rsidRDefault="00E143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D0D" w:rsidRDefault="00816D0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D0D" w:rsidRDefault="00816D0D">
    <w:pPr>
      <w:tabs>
        <w:tab w:val="clear" w:pos="227"/>
        <w:tab w:val="clear" w:pos="454"/>
        <w:tab w:val="clear" w:pos="680"/>
        <w:tab w:val="left" w:pos="720"/>
      </w:tabs>
      <w:autoSpaceDE w:val="0"/>
      <w:autoSpaceDN w:val="0"/>
      <w:adjustRightInd w:val="0"/>
      <w:spacing w:line="240" w:lineRule="auto"/>
      <w:ind w:right="360"/>
      <w:jc w:val="both"/>
      <w:rPr>
        <w:rFonts w:ascii="Arial Narrow" w:hAnsi="Arial Narrow"/>
        <w:b/>
        <w:bCs/>
        <w:i/>
        <w:iCs/>
        <w:sz w:val="18"/>
        <w:szCs w:val="28"/>
      </w:rPr>
    </w:pPr>
  </w:p>
  <w:p w:rsidR="00816D0D" w:rsidRDefault="00816D0D">
    <w:pPr>
      <w:tabs>
        <w:tab w:val="clear" w:pos="227"/>
        <w:tab w:val="clear" w:pos="454"/>
        <w:tab w:val="clear" w:pos="680"/>
        <w:tab w:val="left" w:pos="720"/>
      </w:tabs>
      <w:autoSpaceDE w:val="0"/>
      <w:autoSpaceDN w:val="0"/>
      <w:adjustRightInd w:val="0"/>
      <w:spacing w:line="240" w:lineRule="auto"/>
      <w:ind w:right="360"/>
      <w:jc w:val="both"/>
      <w:rPr>
        <w:rFonts w:ascii="Arial Narrow" w:hAnsi="Arial Narrow"/>
        <w:b/>
        <w:bCs/>
        <w:i/>
        <w:iCs/>
        <w:sz w:val="18"/>
        <w:szCs w:val="28"/>
      </w:rPr>
    </w:pPr>
  </w:p>
  <w:p w:rsidR="00816D0D" w:rsidRDefault="00816D0D">
    <w:pPr>
      <w:tabs>
        <w:tab w:val="clear" w:pos="227"/>
        <w:tab w:val="clear" w:pos="454"/>
        <w:tab w:val="clear" w:pos="680"/>
        <w:tab w:val="left" w:pos="720"/>
      </w:tabs>
      <w:autoSpaceDE w:val="0"/>
      <w:autoSpaceDN w:val="0"/>
      <w:adjustRightInd w:val="0"/>
      <w:spacing w:line="240" w:lineRule="auto"/>
      <w:ind w:right="360"/>
      <w:jc w:val="both"/>
      <w:rPr>
        <w:rFonts w:ascii="Arial Narrow" w:hAnsi="Arial Narrow"/>
        <w:b/>
        <w:bCs/>
        <w:i/>
        <w:iCs/>
        <w:sz w:val="18"/>
        <w:szCs w:val="28"/>
      </w:rPr>
    </w:pPr>
  </w:p>
  <w:p w:rsidR="00816D0D" w:rsidRDefault="00816D0D">
    <w:pPr>
      <w:tabs>
        <w:tab w:val="clear" w:pos="227"/>
        <w:tab w:val="clear" w:pos="454"/>
        <w:tab w:val="clear" w:pos="680"/>
        <w:tab w:val="left" w:pos="720"/>
      </w:tabs>
      <w:autoSpaceDE w:val="0"/>
      <w:autoSpaceDN w:val="0"/>
      <w:adjustRightInd w:val="0"/>
      <w:spacing w:line="240" w:lineRule="auto"/>
      <w:ind w:right="360"/>
      <w:jc w:val="both"/>
      <w:rPr>
        <w:rFonts w:ascii="Arial Narrow" w:hAnsi="Arial Narrow"/>
        <w:b/>
        <w:bCs/>
        <w:i/>
        <w:iCs/>
        <w:sz w:val="18"/>
        <w:szCs w:val="28"/>
        <w:lang w:val="el-GR"/>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D0D" w:rsidRDefault="005C3048">
    <w:pPr>
      <w:tabs>
        <w:tab w:val="clear" w:pos="227"/>
        <w:tab w:val="clear" w:pos="454"/>
        <w:tab w:val="clear" w:pos="680"/>
        <w:tab w:val="left" w:pos="720"/>
      </w:tabs>
      <w:autoSpaceDE w:val="0"/>
      <w:autoSpaceDN w:val="0"/>
      <w:adjustRightInd w:val="0"/>
      <w:spacing w:line="240" w:lineRule="auto"/>
      <w:ind w:right="360"/>
      <w:jc w:val="both"/>
    </w:pPr>
    <w:r w:rsidRPr="005C3048">
      <w:rPr>
        <w:noProof/>
        <w:lang w:val="el-GR"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pt;margin-top:-.3pt;width:147.4pt;height:23.2pt;z-index:251657728" filled="t" stroked="t">
          <v:imagedata r:id="rId1" o:title=""/>
          <w10:wrap type="topAndBottom"/>
        </v:shape>
        <o:OLEObject Type="Embed" ProgID="Word.Document.8" ShapeID="_x0000_s2049" DrawAspect="Content" ObjectID="_1430570079" r:id="rId2">
          <o:FieldCodes>\s</o:FieldCodes>
        </o:OLEObject>
      </w:pict>
    </w:r>
  </w:p>
  <w:p w:rsidR="00816D0D" w:rsidRDefault="00816D0D">
    <w:pPr>
      <w:pStyle w:val="Header"/>
      <w:rPr>
        <w:lang w:val="el-GR"/>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D0D" w:rsidRDefault="00816D0D">
    <w:pPr>
      <w:tabs>
        <w:tab w:val="clear" w:pos="227"/>
        <w:tab w:val="clear" w:pos="454"/>
        <w:tab w:val="clear" w:pos="680"/>
        <w:tab w:val="left" w:pos="720"/>
      </w:tabs>
      <w:autoSpaceDE w:val="0"/>
      <w:autoSpaceDN w:val="0"/>
      <w:adjustRightInd w:val="0"/>
      <w:spacing w:line="240" w:lineRule="auto"/>
      <w:ind w:right="360"/>
      <w:jc w:val="both"/>
      <w:rPr>
        <w:rFonts w:ascii="Arial Narrow" w:hAnsi="Arial Narrow"/>
        <w:b/>
        <w:bCs/>
        <w:i/>
        <w:iCs/>
        <w:sz w:val="18"/>
        <w:szCs w:val="28"/>
      </w:rPr>
    </w:pPr>
    <w:r>
      <w:object w:dxaOrig="3810" w:dyaOrig="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6.25pt;height:19.5pt" o:ole="">
          <v:imagedata r:id="rId1" o:title=""/>
        </v:shape>
        <o:OLEObject Type="Embed" ProgID="MSPhotoEd.3" ShapeID="_x0000_i1026" DrawAspect="Content" ObjectID="_1430570076" r:id="rId2"/>
      </w:object>
    </w:r>
  </w:p>
  <w:p w:rsidR="00816D0D" w:rsidRDefault="00816D0D">
    <w:pPr>
      <w:tabs>
        <w:tab w:val="clear" w:pos="227"/>
        <w:tab w:val="clear" w:pos="454"/>
        <w:tab w:val="clear" w:pos="680"/>
        <w:tab w:val="left" w:pos="720"/>
      </w:tabs>
      <w:autoSpaceDE w:val="0"/>
      <w:autoSpaceDN w:val="0"/>
      <w:adjustRightInd w:val="0"/>
      <w:spacing w:line="240" w:lineRule="auto"/>
      <w:ind w:right="360"/>
      <w:jc w:val="both"/>
      <w:rPr>
        <w:rFonts w:ascii="Arial Narrow" w:hAnsi="Arial Narrow"/>
        <w:b/>
        <w:bCs/>
        <w:i/>
        <w:iCs/>
        <w:sz w:val="18"/>
        <w:szCs w:val="28"/>
      </w:rPr>
    </w:pPr>
  </w:p>
  <w:p w:rsidR="00816D0D" w:rsidRDefault="00816D0D">
    <w:pPr>
      <w:tabs>
        <w:tab w:val="clear" w:pos="227"/>
        <w:tab w:val="clear" w:pos="454"/>
        <w:tab w:val="clear" w:pos="680"/>
        <w:tab w:val="left" w:pos="720"/>
      </w:tabs>
      <w:autoSpaceDE w:val="0"/>
      <w:autoSpaceDN w:val="0"/>
      <w:adjustRightInd w:val="0"/>
      <w:spacing w:line="240" w:lineRule="auto"/>
      <w:ind w:right="360"/>
      <w:jc w:val="both"/>
      <w:rPr>
        <w:rFonts w:ascii="Arial Narrow" w:hAnsi="Arial Narrow"/>
        <w:b/>
        <w:bCs/>
        <w:i/>
        <w:iCs/>
        <w:sz w:val="18"/>
        <w:szCs w:val="28"/>
      </w:rPr>
    </w:pPr>
  </w:p>
  <w:p w:rsidR="00816D0D" w:rsidRDefault="00816D0D">
    <w:pPr>
      <w:tabs>
        <w:tab w:val="clear" w:pos="227"/>
        <w:tab w:val="clear" w:pos="454"/>
        <w:tab w:val="clear" w:pos="680"/>
        <w:tab w:val="left" w:pos="720"/>
      </w:tabs>
      <w:autoSpaceDE w:val="0"/>
      <w:autoSpaceDN w:val="0"/>
      <w:adjustRightInd w:val="0"/>
      <w:spacing w:line="240" w:lineRule="auto"/>
      <w:ind w:right="360"/>
      <w:jc w:val="both"/>
      <w:rPr>
        <w:rFonts w:ascii="Arial Narrow" w:hAnsi="Arial Narrow"/>
        <w:b/>
        <w:bCs/>
        <w:i/>
        <w:iCs/>
        <w:sz w:val="18"/>
        <w:szCs w:val="28"/>
        <w:lang w:val="el-GR"/>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D0D" w:rsidRDefault="00816D0D">
    <w:pPr>
      <w:tabs>
        <w:tab w:val="clear" w:pos="227"/>
        <w:tab w:val="clear" w:pos="454"/>
        <w:tab w:val="clear" w:pos="680"/>
        <w:tab w:val="left" w:pos="720"/>
      </w:tabs>
      <w:autoSpaceDE w:val="0"/>
      <w:autoSpaceDN w:val="0"/>
      <w:adjustRightInd w:val="0"/>
      <w:spacing w:line="240" w:lineRule="auto"/>
      <w:ind w:right="360"/>
      <w:jc w:val="both"/>
      <w:rPr>
        <w:rFonts w:ascii="Arial Narrow" w:hAnsi="Arial Narrow"/>
        <w:b/>
        <w:bCs/>
        <w:i/>
        <w:iCs/>
        <w:sz w:val="18"/>
        <w:szCs w:val="28"/>
      </w:rPr>
    </w:pPr>
  </w:p>
  <w:p w:rsidR="00816D0D" w:rsidRDefault="00816D0D">
    <w:pPr>
      <w:tabs>
        <w:tab w:val="clear" w:pos="227"/>
        <w:tab w:val="clear" w:pos="454"/>
        <w:tab w:val="clear" w:pos="680"/>
        <w:tab w:val="left" w:pos="720"/>
      </w:tabs>
      <w:autoSpaceDE w:val="0"/>
      <w:autoSpaceDN w:val="0"/>
      <w:adjustRightInd w:val="0"/>
      <w:spacing w:line="240" w:lineRule="auto"/>
      <w:ind w:right="360"/>
      <w:jc w:val="both"/>
      <w:rPr>
        <w:rFonts w:ascii="Arial Narrow" w:hAnsi="Arial Narrow"/>
        <w:b/>
        <w:bCs/>
        <w:i/>
        <w:iCs/>
        <w:sz w:val="18"/>
        <w:szCs w:val="28"/>
      </w:rPr>
    </w:pPr>
  </w:p>
  <w:p w:rsidR="00816D0D" w:rsidRDefault="00816D0D">
    <w:pPr>
      <w:tabs>
        <w:tab w:val="clear" w:pos="227"/>
        <w:tab w:val="clear" w:pos="454"/>
        <w:tab w:val="clear" w:pos="680"/>
        <w:tab w:val="left" w:pos="720"/>
      </w:tabs>
      <w:autoSpaceDE w:val="0"/>
      <w:autoSpaceDN w:val="0"/>
      <w:adjustRightInd w:val="0"/>
      <w:spacing w:line="240" w:lineRule="auto"/>
      <w:ind w:right="360"/>
      <w:jc w:val="both"/>
      <w:rPr>
        <w:rFonts w:ascii="Arial Narrow" w:hAnsi="Arial Narrow"/>
        <w:b/>
        <w:bCs/>
        <w:i/>
        <w:iCs/>
        <w:sz w:val="18"/>
        <w:szCs w:val="28"/>
      </w:rPr>
    </w:pPr>
  </w:p>
  <w:p w:rsidR="00816D0D" w:rsidRDefault="00816D0D">
    <w:pPr>
      <w:tabs>
        <w:tab w:val="clear" w:pos="227"/>
        <w:tab w:val="clear" w:pos="454"/>
        <w:tab w:val="clear" w:pos="680"/>
        <w:tab w:val="left" w:pos="720"/>
      </w:tabs>
      <w:autoSpaceDE w:val="0"/>
      <w:autoSpaceDN w:val="0"/>
      <w:adjustRightInd w:val="0"/>
      <w:spacing w:line="240" w:lineRule="auto"/>
      <w:ind w:right="360"/>
      <w:jc w:val="both"/>
      <w:rPr>
        <w:rFonts w:ascii="Arial Narrow" w:hAnsi="Arial Narrow"/>
        <w:b/>
        <w:bCs/>
        <w:i/>
        <w:iCs/>
        <w:sz w:val="18"/>
        <w:szCs w:val="28"/>
        <w:lang w:val="el-GR"/>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D0D" w:rsidRDefault="005C3048">
    <w:pPr>
      <w:tabs>
        <w:tab w:val="clear" w:pos="227"/>
        <w:tab w:val="clear" w:pos="454"/>
        <w:tab w:val="clear" w:pos="680"/>
        <w:tab w:val="left" w:pos="720"/>
      </w:tabs>
      <w:autoSpaceDE w:val="0"/>
      <w:autoSpaceDN w:val="0"/>
      <w:adjustRightInd w:val="0"/>
      <w:spacing w:line="240" w:lineRule="auto"/>
      <w:ind w:right="360"/>
      <w:jc w:val="both"/>
    </w:pPr>
    <w:r w:rsidRPr="005C3048">
      <w:rPr>
        <w:noProof/>
        <w:lang w:val="el-GR"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pt;margin-top:-.3pt;width:147.4pt;height:23.2pt;z-index:251658752" filled="t" stroked="t">
          <v:imagedata r:id="rId1" o:title=""/>
          <w10:wrap type="topAndBottom"/>
        </v:shape>
        <o:OLEObject Type="Embed" ProgID="Word.Document.8" ShapeID="_x0000_s2050" DrawAspect="Content" ObjectID="_1430570080" r:id="rId2">
          <o:FieldCodes>\s</o:FieldCodes>
        </o:OLEObject>
      </w:pict>
    </w:r>
  </w:p>
  <w:p w:rsidR="00816D0D" w:rsidRDefault="00816D0D">
    <w:pPr>
      <w:pStyle w:val="Header"/>
      <w:rPr>
        <w:lang w:val="el-GR"/>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D0D" w:rsidRDefault="00816D0D">
    <w:pPr>
      <w:tabs>
        <w:tab w:val="clear" w:pos="227"/>
        <w:tab w:val="clear" w:pos="454"/>
        <w:tab w:val="clear" w:pos="680"/>
        <w:tab w:val="left" w:pos="720"/>
      </w:tabs>
      <w:autoSpaceDE w:val="0"/>
      <w:autoSpaceDN w:val="0"/>
      <w:adjustRightInd w:val="0"/>
      <w:spacing w:line="240" w:lineRule="auto"/>
      <w:ind w:right="360"/>
      <w:jc w:val="both"/>
      <w:rPr>
        <w:rFonts w:ascii="Arial Narrow" w:hAnsi="Arial Narrow"/>
        <w:b/>
        <w:bCs/>
        <w:i/>
        <w:iCs/>
        <w:sz w:val="18"/>
        <w:szCs w:val="28"/>
      </w:rPr>
    </w:pPr>
    <w:r w:rsidRPr="00861A5A">
      <w:object w:dxaOrig="3810" w:dyaOrig="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6.25pt;height:19.5pt" o:ole="">
          <v:imagedata r:id="rId1" o:title=""/>
        </v:shape>
        <o:OLEObject Type="Embed" ProgID="MSPhotoEd.3" ShapeID="_x0000_i1027" DrawAspect="Content" ObjectID="_1430570077" r:id="rId2"/>
      </w:object>
    </w:r>
  </w:p>
  <w:p w:rsidR="00816D0D" w:rsidRDefault="00816D0D">
    <w:pPr>
      <w:tabs>
        <w:tab w:val="clear" w:pos="227"/>
        <w:tab w:val="clear" w:pos="454"/>
        <w:tab w:val="clear" w:pos="680"/>
        <w:tab w:val="left" w:pos="720"/>
      </w:tabs>
      <w:autoSpaceDE w:val="0"/>
      <w:autoSpaceDN w:val="0"/>
      <w:adjustRightInd w:val="0"/>
      <w:spacing w:line="240" w:lineRule="auto"/>
      <w:ind w:right="360"/>
      <w:jc w:val="both"/>
      <w:rPr>
        <w:rFonts w:ascii="Arial Narrow" w:hAnsi="Arial Narrow"/>
        <w:b/>
        <w:bCs/>
        <w:i/>
        <w:iCs/>
        <w:sz w:val="18"/>
        <w:szCs w:val="28"/>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D0D" w:rsidRDefault="00816D0D">
    <w:pPr>
      <w:tabs>
        <w:tab w:val="clear" w:pos="227"/>
        <w:tab w:val="clear" w:pos="454"/>
        <w:tab w:val="clear" w:pos="680"/>
        <w:tab w:val="left" w:pos="720"/>
      </w:tabs>
      <w:autoSpaceDE w:val="0"/>
      <w:autoSpaceDN w:val="0"/>
      <w:adjustRightInd w:val="0"/>
      <w:spacing w:line="240" w:lineRule="auto"/>
      <w:ind w:right="360"/>
      <w:jc w:val="both"/>
    </w:pPr>
    <w:r>
      <w:object w:dxaOrig="3810" w:dyaOrig="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6.25pt;height:19.5pt" o:ole="">
          <v:imagedata r:id="rId1" o:title=""/>
        </v:shape>
        <o:OLEObject Type="Embed" ProgID="MSPhotoEd.3" ShapeID="_x0000_i1028" DrawAspect="Content" ObjectID="_1430570078" r:id="rId2"/>
      </w:object>
    </w:r>
  </w:p>
  <w:p w:rsidR="00816D0D" w:rsidRPr="002F436A" w:rsidRDefault="00816D0D">
    <w:pPr>
      <w:pBdr>
        <w:bottom w:val="single" w:sz="4" w:space="1" w:color="auto"/>
      </w:pBdr>
      <w:tabs>
        <w:tab w:val="clear" w:pos="227"/>
        <w:tab w:val="clear" w:pos="454"/>
        <w:tab w:val="clear" w:pos="680"/>
        <w:tab w:val="left" w:pos="720"/>
      </w:tabs>
      <w:autoSpaceDE w:val="0"/>
      <w:autoSpaceDN w:val="0"/>
      <w:adjustRightInd w:val="0"/>
      <w:spacing w:line="240" w:lineRule="auto"/>
      <w:ind w:right="360"/>
      <w:jc w:val="both"/>
      <w:rPr>
        <w:lang w:val="el-GR"/>
      </w:rPr>
    </w:pPr>
    <w:r>
      <w:rPr>
        <w:lang w:val="el-GR"/>
      </w:rPr>
      <w:t>Σημειώσεις επί των οικονομικών καταστάσεων της 31 Δεκεμβρίου 20</w:t>
    </w:r>
    <w:r w:rsidRPr="00085455">
      <w:rPr>
        <w:lang w:val="el-GR"/>
      </w:rPr>
      <w:t>1</w:t>
    </w:r>
    <w:r>
      <w:rPr>
        <w:lang w:val="el-GR"/>
      </w:rPr>
      <w:t>2</w:t>
    </w:r>
  </w:p>
  <w:p w:rsidR="00816D0D" w:rsidRDefault="00816D0D">
    <w:pPr>
      <w:pBdr>
        <w:bottom w:val="single" w:sz="4" w:space="1" w:color="auto"/>
      </w:pBdr>
      <w:tabs>
        <w:tab w:val="clear" w:pos="227"/>
        <w:tab w:val="clear" w:pos="454"/>
        <w:tab w:val="clear" w:pos="680"/>
        <w:tab w:val="left" w:pos="720"/>
      </w:tabs>
      <w:autoSpaceDE w:val="0"/>
      <w:autoSpaceDN w:val="0"/>
      <w:adjustRightInd w:val="0"/>
      <w:spacing w:line="240" w:lineRule="auto"/>
      <w:ind w:right="360"/>
      <w:jc w:val="both"/>
      <w:rPr>
        <w:rFonts w:ascii="Arial Narrow" w:hAnsi="Arial Narrow"/>
        <w:b/>
        <w:bCs/>
        <w:i/>
        <w:iCs/>
        <w:sz w:val="18"/>
        <w:szCs w:val="28"/>
        <w:lang w:val="el-GR"/>
      </w:rPr>
    </w:pPr>
  </w:p>
  <w:p w:rsidR="00816D0D" w:rsidRDefault="00816D0D">
    <w:pPr>
      <w:tabs>
        <w:tab w:val="clear" w:pos="227"/>
        <w:tab w:val="clear" w:pos="454"/>
        <w:tab w:val="clear" w:pos="680"/>
        <w:tab w:val="left" w:pos="720"/>
      </w:tabs>
      <w:autoSpaceDE w:val="0"/>
      <w:autoSpaceDN w:val="0"/>
      <w:adjustRightInd w:val="0"/>
      <w:spacing w:line="240" w:lineRule="auto"/>
      <w:ind w:right="360"/>
      <w:jc w:val="both"/>
      <w:rPr>
        <w:rFonts w:ascii="Arial Narrow" w:hAnsi="Arial Narrow"/>
        <w:b/>
        <w:bCs/>
        <w:i/>
        <w:iCs/>
        <w:sz w:val="18"/>
        <w:szCs w:val="28"/>
        <w:lang w:val="el-GR"/>
      </w:rPr>
    </w:pPr>
  </w:p>
  <w:p w:rsidR="00816D0D" w:rsidRDefault="00816D0D">
    <w:pPr>
      <w:tabs>
        <w:tab w:val="clear" w:pos="227"/>
        <w:tab w:val="clear" w:pos="454"/>
        <w:tab w:val="clear" w:pos="680"/>
        <w:tab w:val="left" w:pos="720"/>
      </w:tabs>
      <w:autoSpaceDE w:val="0"/>
      <w:autoSpaceDN w:val="0"/>
      <w:adjustRightInd w:val="0"/>
      <w:spacing w:line="240" w:lineRule="auto"/>
      <w:ind w:right="360"/>
      <w:jc w:val="both"/>
      <w:rPr>
        <w:rFonts w:ascii="Arial Narrow" w:hAnsi="Arial Narrow"/>
        <w:b/>
        <w:bCs/>
        <w:i/>
        <w:iCs/>
        <w:sz w:val="18"/>
        <w:szCs w:val="28"/>
        <w:lang w:val="el-GR"/>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D0D" w:rsidRPr="00A20B12" w:rsidRDefault="005C3048">
    <w:pPr>
      <w:pStyle w:val="Header"/>
      <w:framePr w:wrap="around" w:vAnchor="text" w:hAnchor="margin" w:xAlign="right" w:y="1"/>
      <w:rPr>
        <w:rStyle w:val="PageNumber"/>
        <w:lang w:val="el-GR"/>
      </w:rPr>
    </w:pPr>
    <w:r>
      <w:rPr>
        <w:rStyle w:val="PageNumber"/>
      </w:rPr>
      <w:fldChar w:fldCharType="begin"/>
    </w:r>
    <w:r w:rsidR="00816D0D">
      <w:rPr>
        <w:rStyle w:val="PageNumber"/>
      </w:rPr>
      <w:instrText>PAGE</w:instrText>
    </w:r>
    <w:r w:rsidR="00816D0D" w:rsidRPr="00A20B12">
      <w:rPr>
        <w:rStyle w:val="PageNumber"/>
        <w:lang w:val="el-GR"/>
      </w:rPr>
      <w:instrText xml:space="preserve">  </w:instrText>
    </w:r>
    <w:r>
      <w:rPr>
        <w:rStyle w:val="PageNumber"/>
      </w:rPr>
      <w:fldChar w:fldCharType="separate"/>
    </w:r>
    <w:r w:rsidR="00816D0D" w:rsidRPr="00A20B12">
      <w:rPr>
        <w:rStyle w:val="PageNumber"/>
        <w:noProof/>
        <w:lang w:val="el-GR"/>
      </w:rPr>
      <w:t>30</w:t>
    </w:r>
    <w:r>
      <w:rPr>
        <w:rStyle w:val="PageNumber"/>
      </w:rPr>
      <w:fldChar w:fldCharType="end"/>
    </w:r>
  </w:p>
  <w:p w:rsidR="00816D0D" w:rsidRDefault="005C3048">
    <w:pPr>
      <w:tabs>
        <w:tab w:val="clear" w:pos="227"/>
        <w:tab w:val="clear" w:pos="454"/>
        <w:tab w:val="clear" w:pos="680"/>
        <w:tab w:val="left" w:pos="720"/>
      </w:tabs>
      <w:autoSpaceDE w:val="0"/>
      <w:autoSpaceDN w:val="0"/>
      <w:adjustRightInd w:val="0"/>
      <w:spacing w:line="240" w:lineRule="auto"/>
      <w:ind w:right="360"/>
      <w:jc w:val="both"/>
      <w:rPr>
        <w:rFonts w:ascii="Arial Narrow" w:hAnsi="Arial Narrow"/>
        <w:b/>
        <w:bCs/>
        <w:i/>
        <w:iCs/>
        <w:sz w:val="18"/>
        <w:szCs w:val="28"/>
        <w:lang w:val="el-GR"/>
      </w:rPr>
    </w:pPr>
    <w:r w:rsidRPr="005C3048">
      <w:rPr>
        <w:noProof/>
        <w:lang w:val="el-GR"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35pt;margin-top:-1.6pt;width:147.4pt;height:23.2pt;z-index:251656704" filled="t" stroked="t">
          <v:imagedata r:id="rId1" o:title=""/>
          <w10:wrap type="topAndBottom"/>
        </v:shape>
        <o:OLEObject Type="Embed" ProgID="Word.Document.8" ShapeID="_x0000_s2051" DrawAspect="Content" ObjectID="_1430570081" r:id="rId2">
          <o:FieldCodes>\s</o:FieldCodes>
        </o:OLEObject>
      </w:pict>
    </w:r>
  </w:p>
  <w:p w:rsidR="00816D0D" w:rsidRPr="00A20B12" w:rsidRDefault="00816D0D">
    <w:pPr>
      <w:pStyle w:val="Header"/>
      <w:rPr>
        <w:i/>
        <w:sz w:val="16"/>
        <w:szCs w:val="16"/>
        <w:lang w:val="el-GR"/>
      </w:rPr>
    </w:pPr>
  </w:p>
  <w:p w:rsidR="00816D0D" w:rsidRPr="00A20B12" w:rsidRDefault="00816D0D">
    <w:pPr>
      <w:pStyle w:val="Header"/>
      <w:rPr>
        <w:i/>
        <w:sz w:val="16"/>
        <w:szCs w:val="16"/>
        <w:lang w:val="el-GR"/>
      </w:rPr>
    </w:pPr>
  </w:p>
  <w:p w:rsidR="00816D0D" w:rsidRPr="00A20B12" w:rsidRDefault="00816D0D">
    <w:pPr>
      <w:pStyle w:val="Header"/>
      <w:pBdr>
        <w:bottom w:val="single" w:sz="4" w:space="1" w:color="auto"/>
      </w:pBdr>
      <w:rPr>
        <w:lang w:val="el-GR"/>
      </w:rPr>
    </w:pPr>
    <w:r>
      <w:rPr>
        <w:i/>
        <w:sz w:val="16"/>
        <w:szCs w:val="16"/>
        <w:lang w:val="el-GR"/>
      </w:rPr>
      <w:t>ΣΗΜΕΙΩΣΕΙΣ ΕΠΙ ΤΩΝ ΟΙΚΟΝΟΜΙΚΩΝ ΚΑΤΑΣΤΑΣΕΩΝ 31 ΔΕΚΕΜΒΡΙΟΥ 2005</w:t>
    </w:r>
  </w:p>
  <w:p w:rsidR="00816D0D" w:rsidRDefault="00816D0D">
    <w:pPr>
      <w:pStyle w:val="Header"/>
      <w:rPr>
        <w:lang w:val="el-G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EA860E8"/>
    <w:lvl w:ilvl="0">
      <w:start w:val="1"/>
      <w:numFmt w:val="decimal"/>
      <w:pStyle w:val="ListNumber5"/>
      <w:lvlText w:val="%1."/>
      <w:lvlJc w:val="left"/>
      <w:pPr>
        <w:tabs>
          <w:tab w:val="num" w:pos="1492"/>
        </w:tabs>
        <w:ind w:left="1492" w:hanging="360"/>
      </w:pPr>
      <w:rPr>
        <w:rFonts w:cs="Times New Roman"/>
      </w:rPr>
    </w:lvl>
  </w:abstractNum>
  <w:abstractNum w:abstractNumId="1">
    <w:nsid w:val="FFFFFF7D"/>
    <w:multiLevelType w:val="singleLevel"/>
    <w:tmpl w:val="54EEBA38"/>
    <w:lvl w:ilvl="0">
      <w:start w:val="1"/>
      <w:numFmt w:val="decimal"/>
      <w:pStyle w:val="ListNumber4"/>
      <w:lvlText w:val="%1."/>
      <w:lvlJc w:val="left"/>
      <w:pPr>
        <w:tabs>
          <w:tab w:val="num" w:pos="1209"/>
        </w:tabs>
        <w:ind w:left="1209" w:hanging="360"/>
      </w:pPr>
      <w:rPr>
        <w:rFonts w:cs="Times New Roman"/>
      </w:rPr>
    </w:lvl>
  </w:abstractNum>
  <w:abstractNum w:abstractNumId="2">
    <w:nsid w:val="FFFFFF7E"/>
    <w:multiLevelType w:val="singleLevel"/>
    <w:tmpl w:val="7B12E0DC"/>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6ECE4C18"/>
    <w:lvl w:ilvl="0">
      <w:start w:val="1"/>
      <w:numFmt w:val="decimal"/>
      <w:pStyle w:val="ListNumber2"/>
      <w:lvlText w:val="%1."/>
      <w:lvlJc w:val="left"/>
      <w:pPr>
        <w:tabs>
          <w:tab w:val="num" w:pos="643"/>
        </w:tabs>
        <w:ind w:left="643" w:hanging="360"/>
      </w:pPr>
      <w:rPr>
        <w:rFonts w:cs="Times New Roman"/>
      </w:rPr>
    </w:lvl>
  </w:abstractNum>
  <w:abstractNum w:abstractNumId="4">
    <w:nsid w:val="FFFFFF80"/>
    <w:multiLevelType w:val="singleLevel"/>
    <w:tmpl w:val="79AAF7A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588EC474"/>
    <w:lvl w:ilvl="0">
      <w:start w:val="1"/>
      <w:numFmt w:val="bullet"/>
      <w:pStyle w:val="ListBullet2"/>
      <w:lvlText w:val=""/>
      <w:lvlJc w:val="left"/>
      <w:pPr>
        <w:tabs>
          <w:tab w:val="num" w:pos="1209"/>
        </w:tabs>
        <w:ind w:left="1209" w:hanging="360"/>
      </w:pPr>
      <w:rPr>
        <w:rFonts w:ascii="Symbol" w:hAnsi="Symbol" w:hint="default"/>
      </w:rPr>
    </w:lvl>
  </w:abstractNum>
  <w:abstractNum w:abstractNumId="6">
    <w:nsid w:val="FFFFFF82"/>
    <w:multiLevelType w:val="singleLevel"/>
    <w:tmpl w:val="15FCE30C"/>
    <w:lvl w:ilvl="0">
      <w:start w:val="1"/>
      <w:numFmt w:val="bullet"/>
      <w:pStyle w:val="ListBullet"/>
      <w:lvlText w:val=""/>
      <w:lvlJc w:val="left"/>
      <w:pPr>
        <w:tabs>
          <w:tab w:val="num" w:pos="926"/>
        </w:tabs>
        <w:ind w:left="926" w:hanging="360"/>
      </w:pPr>
      <w:rPr>
        <w:rFonts w:ascii="Symbol" w:hAnsi="Symbol" w:hint="default"/>
      </w:rPr>
    </w:lvl>
  </w:abstractNum>
  <w:abstractNum w:abstractNumId="7">
    <w:nsid w:val="FFFFFF83"/>
    <w:multiLevelType w:val="singleLevel"/>
    <w:tmpl w:val="CEE6C8AC"/>
    <w:lvl w:ilvl="0">
      <w:start w:val="1"/>
      <w:numFmt w:val="bullet"/>
      <w:pStyle w:val="ListBullet4"/>
      <w:lvlText w:val=""/>
      <w:lvlJc w:val="left"/>
      <w:pPr>
        <w:tabs>
          <w:tab w:val="num" w:pos="643"/>
        </w:tabs>
        <w:ind w:left="643" w:hanging="360"/>
      </w:pPr>
      <w:rPr>
        <w:rFonts w:ascii="Symbol" w:hAnsi="Symbol" w:hint="default"/>
      </w:rPr>
    </w:lvl>
  </w:abstractNum>
  <w:abstractNum w:abstractNumId="8">
    <w:nsid w:val="FFFFFF88"/>
    <w:multiLevelType w:val="singleLevel"/>
    <w:tmpl w:val="310E47A4"/>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84A066C6"/>
    <w:lvl w:ilvl="0">
      <w:start w:val="1"/>
      <w:numFmt w:val="bullet"/>
      <w:pStyle w:val="ListBullet3"/>
      <w:lvlText w:val=""/>
      <w:lvlJc w:val="left"/>
      <w:pPr>
        <w:tabs>
          <w:tab w:val="num" w:pos="360"/>
        </w:tabs>
        <w:ind w:left="360" w:hanging="360"/>
      </w:pPr>
      <w:rPr>
        <w:rFonts w:ascii="Symbol" w:hAnsi="Symbol" w:hint="default"/>
      </w:rPr>
    </w:lvl>
  </w:abstractNum>
  <w:abstractNum w:abstractNumId="10">
    <w:nsid w:val="0A620B30"/>
    <w:multiLevelType w:val="hybridMultilevel"/>
    <w:tmpl w:val="274CF18E"/>
    <w:lvl w:ilvl="0" w:tplc="63FAF1AE">
      <w:start w:val="1"/>
      <w:numFmt w:val="decimal"/>
      <w:lvlText w:val="%1."/>
      <w:lvlJc w:val="left"/>
      <w:pPr>
        <w:tabs>
          <w:tab w:val="num" w:pos="1080"/>
        </w:tabs>
        <w:ind w:left="1080" w:hanging="360"/>
      </w:pPr>
      <w:rPr>
        <w:rFonts w:cs="Times New Roman" w:hint="default"/>
      </w:rPr>
    </w:lvl>
    <w:lvl w:ilvl="1" w:tplc="04080019" w:tentative="1">
      <w:start w:val="1"/>
      <w:numFmt w:val="lowerLetter"/>
      <w:lvlText w:val="%2."/>
      <w:lvlJc w:val="left"/>
      <w:pPr>
        <w:tabs>
          <w:tab w:val="num" w:pos="1800"/>
        </w:tabs>
        <w:ind w:left="1800" w:hanging="360"/>
      </w:pPr>
      <w:rPr>
        <w:rFonts w:cs="Times New Roman"/>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11">
    <w:nsid w:val="15D67776"/>
    <w:multiLevelType w:val="hybridMultilevel"/>
    <w:tmpl w:val="8600417C"/>
    <w:lvl w:ilvl="0" w:tplc="81CABE70">
      <w:start w:val="4"/>
      <w:numFmt w:val="decimal"/>
      <w:lvlText w:val="%1"/>
      <w:lvlJc w:val="left"/>
      <w:pPr>
        <w:ind w:left="700" w:hanging="360"/>
      </w:pPr>
      <w:rPr>
        <w:rFonts w:cs="Times New Roman" w:hint="default"/>
      </w:rPr>
    </w:lvl>
    <w:lvl w:ilvl="1" w:tplc="04080019" w:tentative="1">
      <w:start w:val="1"/>
      <w:numFmt w:val="lowerLetter"/>
      <w:lvlText w:val="%2."/>
      <w:lvlJc w:val="left"/>
      <w:pPr>
        <w:ind w:left="1420" w:hanging="360"/>
      </w:pPr>
      <w:rPr>
        <w:rFonts w:cs="Times New Roman"/>
      </w:rPr>
    </w:lvl>
    <w:lvl w:ilvl="2" w:tplc="0408001B" w:tentative="1">
      <w:start w:val="1"/>
      <w:numFmt w:val="lowerRoman"/>
      <w:lvlText w:val="%3."/>
      <w:lvlJc w:val="right"/>
      <w:pPr>
        <w:ind w:left="2140" w:hanging="180"/>
      </w:pPr>
      <w:rPr>
        <w:rFonts w:cs="Times New Roman"/>
      </w:rPr>
    </w:lvl>
    <w:lvl w:ilvl="3" w:tplc="0408000F" w:tentative="1">
      <w:start w:val="1"/>
      <w:numFmt w:val="decimal"/>
      <w:lvlText w:val="%4."/>
      <w:lvlJc w:val="left"/>
      <w:pPr>
        <w:ind w:left="2860" w:hanging="360"/>
      </w:pPr>
      <w:rPr>
        <w:rFonts w:cs="Times New Roman"/>
      </w:rPr>
    </w:lvl>
    <w:lvl w:ilvl="4" w:tplc="04080019" w:tentative="1">
      <w:start w:val="1"/>
      <w:numFmt w:val="lowerLetter"/>
      <w:lvlText w:val="%5."/>
      <w:lvlJc w:val="left"/>
      <w:pPr>
        <w:ind w:left="3580" w:hanging="360"/>
      </w:pPr>
      <w:rPr>
        <w:rFonts w:cs="Times New Roman"/>
      </w:rPr>
    </w:lvl>
    <w:lvl w:ilvl="5" w:tplc="0408001B" w:tentative="1">
      <w:start w:val="1"/>
      <w:numFmt w:val="lowerRoman"/>
      <w:lvlText w:val="%6."/>
      <w:lvlJc w:val="right"/>
      <w:pPr>
        <w:ind w:left="4300" w:hanging="180"/>
      </w:pPr>
      <w:rPr>
        <w:rFonts w:cs="Times New Roman"/>
      </w:rPr>
    </w:lvl>
    <w:lvl w:ilvl="6" w:tplc="0408000F" w:tentative="1">
      <w:start w:val="1"/>
      <w:numFmt w:val="decimal"/>
      <w:lvlText w:val="%7."/>
      <w:lvlJc w:val="left"/>
      <w:pPr>
        <w:ind w:left="5020" w:hanging="360"/>
      </w:pPr>
      <w:rPr>
        <w:rFonts w:cs="Times New Roman"/>
      </w:rPr>
    </w:lvl>
    <w:lvl w:ilvl="7" w:tplc="04080019" w:tentative="1">
      <w:start w:val="1"/>
      <w:numFmt w:val="lowerLetter"/>
      <w:lvlText w:val="%8."/>
      <w:lvlJc w:val="left"/>
      <w:pPr>
        <w:ind w:left="5740" w:hanging="360"/>
      </w:pPr>
      <w:rPr>
        <w:rFonts w:cs="Times New Roman"/>
      </w:rPr>
    </w:lvl>
    <w:lvl w:ilvl="8" w:tplc="0408001B" w:tentative="1">
      <w:start w:val="1"/>
      <w:numFmt w:val="lowerRoman"/>
      <w:lvlText w:val="%9."/>
      <w:lvlJc w:val="right"/>
      <w:pPr>
        <w:ind w:left="6460" w:hanging="180"/>
      </w:pPr>
      <w:rPr>
        <w:rFonts w:cs="Times New Roman"/>
      </w:rPr>
    </w:lvl>
  </w:abstractNum>
  <w:abstractNum w:abstractNumId="12">
    <w:nsid w:val="1B4A2EA2"/>
    <w:multiLevelType w:val="hybridMultilevel"/>
    <w:tmpl w:val="8558E25C"/>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3">
    <w:nsid w:val="26635412"/>
    <w:multiLevelType w:val="singleLevel"/>
    <w:tmpl w:val="AB30F568"/>
    <w:lvl w:ilvl="0">
      <w:start w:val="1"/>
      <w:numFmt w:val="decimal"/>
      <w:pStyle w:val="AANumbering"/>
      <w:lvlText w:val="%1."/>
      <w:lvlJc w:val="left"/>
      <w:pPr>
        <w:tabs>
          <w:tab w:val="num" w:pos="283"/>
        </w:tabs>
        <w:ind w:left="283" w:hanging="283"/>
      </w:pPr>
      <w:rPr>
        <w:rFonts w:cs="Times New Roman"/>
      </w:rPr>
    </w:lvl>
  </w:abstractNum>
  <w:abstractNum w:abstractNumId="14">
    <w:nsid w:val="31A54ADA"/>
    <w:multiLevelType w:val="hybridMultilevel"/>
    <w:tmpl w:val="240AE118"/>
    <w:lvl w:ilvl="0" w:tplc="0408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5">
    <w:nsid w:val="34FE2A98"/>
    <w:multiLevelType w:val="hybridMultilevel"/>
    <w:tmpl w:val="CF32708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A297125"/>
    <w:multiLevelType w:val="singleLevel"/>
    <w:tmpl w:val="CC8A7736"/>
    <w:lvl w:ilvl="0">
      <w:start w:val="1"/>
      <w:numFmt w:val="bullet"/>
      <w:pStyle w:val="AA1stlevelbullet"/>
      <w:lvlText w:val=""/>
      <w:lvlJc w:val="left"/>
      <w:pPr>
        <w:tabs>
          <w:tab w:val="num" w:pos="283"/>
        </w:tabs>
        <w:ind w:left="283" w:hanging="283"/>
      </w:pPr>
      <w:rPr>
        <w:rFonts w:ascii="Symbol" w:hAnsi="Symbol" w:hint="default"/>
      </w:rPr>
    </w:lvl>
  </w:abstractNum>
  <w:abstractNum w:abstractNumId="17">
    <w:nsid w:val="3A631F1A"/>
    <w:multiLevelType w:val="hybridMultilevel"/>
    <w:tmpl w:val="629EE2FC"/>
    <w:lvl w:ilvl="0" w:tplc="5A0279C2">
      <w:start w:val="1"/>
      <w:numFmt w:val="decimal"/>
      <w:lvlText w:val="%1."/>
      <w:lvlJc w:val="left"/>
      <w:pPr>
        <w:tabs>
          <w:tab w:val="num" w:pos="750"/>
        </w:tabs>
        <w:ind w:left="750" w:hanging="39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nsid w:val="3F431FB7"/>
    <w:multiLevelType w:val="singleLevel"/>
    <w:tmpl w:val="C4102D84"/>
    <w:lvl w:ilvl="0">
      <w:start w:val="1"/>
      <w:numFmt w:val="bullet"/>
      <w:pStyle w:val="AA2ndlevelbullet"/>
      <w:lvlText w:val=""/>
      <w:lvlJc w:val="left"/>
      <w:pPr>
        <w:tabs>
          <w:tab w:val="num" w:pos="283"/>
        </w:tabs>
        <w:ind w:left="283" w:hanging="283"/>
      </w:pPr>
      <w:rPr>
        <w:rFonts w:ascii="Symbol" w:hAnsi="Symbol" w:hint="default"/>
      </w:rPr>
    </w:lvl>
  </w:abstractNum>
  <w:abstractNum w:abstractNumId="19">
    <w:nsid w:val="53A65356"/>
    <w:multiLevelType w:val="multilevel"/>
    <w:tmpl w:val="CF14E9B0"/>
    <w:lvl w:ilvl="0">
      <w:start w:val="1"/>
      <w:numFmt w:val="decimal"/>
      <w:lvlText w:val="%1"/>
      <w:lvlJc w:val="left"/>
      <w:pPr>
        <w:tabs>
          <w:tab w:val="num" w:pos="340"/>
        </w:tabs>
        <w:ind w:left="340" w:hanging="340"/>
      </w:pPr>
      <w:rPr>
        <w:rFonts w:ascii="9999999" w:hAnsi="9999999" w:cs="Times New Roman"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0">
    <w:nsid w:val="605F547C"/>
    <w:multiLevelType w:val="multilevel"/>
    <w:tmpl w:val="1596883A"/>
    <w:lvl w:ilvl="0">
      <w:start w:val="1"/>
      <w:numFmt w:val="decimal"/>
      <w:lvlText w:val="%1."/>
      <w:lvlJc w:val="left"/>
      <w:pPr>
        <w:tabs>
          <w:tab w:val="num" w:pos="1080"/>
        </w:tabs>
        <w:ind w:left="1080" w:hanging="360"/>
      </w:pPr>
      <w:rPr>
        <w:rFonts w:cs="Times New Roman"/>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160" w:hanging="1440"/>
      </w:pPr>
      <w:rPr>
        <w:rFonts w:cs="Times New Roman" w:hint="default"/>
      </w:rPr>
    </w:lvl>
  </w:abstractNum>
  <w:abstractNum w:abstractNumId="21">
    <w:nsid w:val="66AD448B"/>
    <w:multiLevelType w:val="singleLevel"/>
    <w:tmpl w:val="E6002CD6"/>
    <w:lvl w:ilvl="0">
      <w:start w:val="1"/>
      <w:numFmt w:val="lowerLetter"/>
      <w:pStyle w:val="ParagraphNumbering"/>
      <w:lvlText w:val="(%1)"/>
      <w:lvlJc w:val="left"/>
      <w:pPr>
        <w:tabs>
          <w:tab w:val="num" w:pos="705"/>
        </w:tabs>
        <w:ind w:left="705" w:hanging="705"/>
      </w:pPr>
      <w:rPr>
        <w:rFonts w:cs="Times New Roman" w:hint="default"/>
      </w:rPr>
    </w:lvl>
  </w:abstractNum>
  <w:abstractNum w:abstractNumId="22">
    <w:nsid w:val="6E562569"/>
    <w:multiLevelType w:val="hybridMultilevel"/>
    <w:tmpl w:val="E5BC123E"/>
    <w:lvl w:ilvl="0" w:tplc="5E7E8180">
      <w:start w:val="1"/>
      <w:numFmt w:val="bullet"/>
      <w:lvlText w:val=""/>
      <w:lvlJc w:val="left"/>
      <w:pPr>
        <w:tabs>
          <w:tab w:val="num" w:pos="720"/>
        </w:tabs>
        <w:ind w:left="720" w:hanging="360"/>
      </w:pPr>
      <w:rPr>
        <w:rFonts w:ascii="Symbol" w:hAnsi="Symbol" w:hint="default"/>
      </w:rPr>
    </w:lvl>
    <w:lvl w:ilvl="1" w:tplc="8D08CE28" w:tentative="1">
      <w:start w:val="1"/>
      <w:numFmt w:val="bullet"/>
      <w:lvlText w:val="o"/>
      <w:lvlJc w:val="left"/>
      <w:pPr>
        <w:tabs>
          <w:tab w:val="num" w:pos="1440"/>
        </w:tabs>
        <w:ind w:left="1440" w:hanging="360"/>
      </w:pPr>
      <w:rPr>
        <w:rFonts w:ascii="Courier New" w:hAnsi="Courier New" w:hint="default"/>
      </w:rPr>
    </w:lvl>
    <w:lvl w:ilvl="2" w:tplc="61B253EA" w:tentative="1">
      <w:start w:val="1"/>
      <w:numFmt w:val="bullet"/>
      <w:lvlText w:val=""/>
      <w:lvlJc w:val="left"/>
      <w:pPr>
        <w:tabs>
          <w:tab w:val="num" w:pos="2160"/>
        </w:tabs>
        <w:ind w:left="2160" w:hanging="360"/>
      </w:pPr>
      <w:rPr>
        <w:rFonts w:ascii="Wingdings" w:hAnsi="Wingdings" w:hint="default"/>
      </w:rPr>
    </w:lvl>
    <w:lvl w:ilvl="3" w:tplc="A3A68812" w:tentative="1">
      <w:start w:val="1"/>
      <w:numFmt w:val="bullet"/>
      <w:lvlText w:val=""/>
      <w:lvlJc w:val="left"/>
      <w:pPr>
        <w:tabs>
          <w:tab w:val="num" w:pos="2880"/>
        </w:tabs>
        <w:ind w:left="2880" w:hanging="360"/>
      </w:pPr>
      <w:rPr>
        <w:rFonts w:ascii="Symbol" w:hAnsi="Symbol" w:hint="default"/>
      </w:rPr>
    </w:lvl>
    <w:lvl w:ilvl="4" w:tplc="7A9E98D2" w:tentative="1">
      <w:start w:val="1"/>
      <w:numFmt w:val="bullet"/>
      <w:lvlText w:val="o"/>
      <w:lvlJc w:val="left"/>
      <w:pPr>
        <w:tabs>
          <w:tab w:val="num" w:pos="3600"/>
        </w:tabs>
        <w:ind w:left="3600" w:hanging="360"/>
      </w:pPr>
      <w:rPr>
        <w:rFonts w:ascii="Courier New" w:hAnsi="Courier New" w:hint="default"/>
      </w:rPr>
    </w:lvl>
    <w:lvl w:ilvl="5" w:tplc="280A5EEA" w:tentative="1">
      <w:start w:val="1"/>
      <w:numFmt w:val="bullet"/>
      <w:lvlText w:val=""/>
      <w:lvlJc w:val="left"/>
      <w:pPr>
        <w:tabs>
          <w:tab w:val="num" w:pos="4320"/>
        </w:tabs>
        <w:ind w:left="4320" w:hanging="360"/>
      </w:pPr>
      <w:rPr>
        <w:rFonts w:ascii="Wingdings" w:hAnsi="Wingdings" w:hint="default"/>
      </w:rPr>
    </w:lvl>
    <w:lvl w:ilvl="6" w:tplc="D2F6DB9E" w:tentative="1">
      <w:start w:val="1"/>
      <w:numFmt w:val="bullet"/>
      <w:lvlText w:val=""/>
      <w:lvlJc w:val="left"/>
      <w:pPr>
        <w:tabs>
          <w:tab w:val="num" w:pos="5040"/>
        </w:tabs>
        <w:ind w:left="5040" w:hanging="360"/>
      </w:pPr>
      <w:rPr>
        <w:rFonts w:ascii="Symbol" w:hAnsi="Symbol" w:hint="default"/>
      </w:rPr>
    </w:lvl>
    <w:lvl w:ilvl="7" w:tplc="F6C20F64" w:tentative="1">
      <w:start w:val="1"/>
      <w:numFmt w:val="bullet"/>
      <w:lvlText w:val="o"/>
      <w:lvlJc w:val="left"/>
      <w:pPr>
        <w:tabs>
          <w:tab w:val="num" w:pos="5760"/>
        </w:tabs>
        <w:ind w:left="5760" w:hanging="360"/>
      </w:pPr>
      <w:rPr>
        <w:rFonts w:ascii="Courier New" w:hAnsi="Courier New" w:hint="default"/>
      </w:rPr>
    </w:lvl>
    <w:lvl w:ilvl="8" w:tplc="C2A0F72E" w:tentative="1">
      <w:start w:val="1"/>
      <w:numFmt w:val="bullet"/>
      <w:lvlText w:val=""/>
      <w:lvlJc w:val="left"/>
      <w:pPr>
        <w:tabs>
          <w:tab w:val="num" w:pos="6480"/>
        </w:tabs>
        <w:ind w:left="6480" w:hanging="360"/>
      </w:pPr>
      <w:rPr>
        <w:rFonts w:ascii="Wingdings" w:hAnsi="Wingdings" w:hint="default"/>
      </w:rPr>
    </w:lvl>
  </w:abstractNum>
  <w:abstractNum w:abstractNumId="23">
    <w:nsid w:val="6F0E3A2E"/>
    <w:multiLevelType w:val="hybridMultilevel"/>
    <w:tmpl w:val="7E32C668"/>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0"/>
  </w:num>
  <w:num w:numId="9">
    <w:abstractNumId w:val="1"/>
  </w:num>
  <w:num w:numId="10">
    <w:abstractNumId w:val="4"/>
  </w:num>
  <w:num w:numId="11">
    <w:abstractNumId w:val="9"/>
  </w:num>
  <w:num w:numId="12">
    <w:abstractNumId w:val="7"/>
  </w:num>
  <w:num w:numId="13">
    <w:abstractNumId w:val="6"/>
  </w:num>
  <w:num w:numId="14">
    <w:abstractNumId w:val="5"/>
  </w:num>
  <w:num w:numId="15">
    <w:abstractNumId w:val="8"/>
  </w:num>
  <w:num w:numId="16">
    <w:abstractNumId w:val="3"/>
  </w:num>
  <w:num w:numId="17">
    <w:abstractNumId w:val="2"/>
  </w:num>
  <w:num w:numId="18">
    <w:abstractNumId w:val="0"/>
  </w:num>
  <w:num w:numId="19">
    <w:abstractNumId w:val="1"/>
  </w:num>
  <w:num w:numId="20">
    <w:abstractNumId w:val="4"/>
  </w:num>
  <w:num w:numId="21">
    <w:abstractNumId w:val="16"/>
  </w:num>
  <w:num w:numId="22">
    <w:abstractNumId w:val="13"/>
  </w:num>
  <w:num w:numId="23">
    <w:abstractNumId w:val="21"/>
  </w:num>
  <w:num w:numId="24">
    <w:abstractNumId w:val="18"/>
  </w:num>
  <w:num w:numId="25">
    <w:abstractNumId w:val="23"/>
  </w:num>
  <w:num w:numId="26">
    <w:abstractNumId w:val="22"/>
  </w:num>
  <w:num w:numId="27">
    <w:abstractNumId w:val="14"/>
  </w:num>
  <w:num w:numId="28">
    <w:abstractNumId w:val="19"/>
  </w:num>
  <w:num w:numId="29">
    <w:abstractNumId w:val="15"/>
  </w:num>
  <w:num w:numId="30">
    <w:abstractNumId w:val="12"/>
  </w:num>
  <w:num w:numId="31">
    <w:abstractNumId w:val="20"/>
  </w:num>
  <w:num w:numId="32">
    <w:abstractNumId w:val="11"/>
  </w:num>
  <w:num w:numId="33">
    <w:abstractNumId w:val="10"/>
  </w:num>
  <w:num w:numId="34">
    <w:abstractNumId w:val="17"/>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hdrShapeDefaults>
    <o:shapedefaults v:ext="edit" spidmax="14338"/>
    <o:shapelayout v:ext="edit">
      <o:idmap v:ext="edit" data="2"/>
    </o:shapelayout>
  </w:hdrShapeDefaults>
  <w:footnotePr>
    <w:footnote w:id="-1"/>
    <w:footnote w:id="0"/>
  </w:footnotePr>
  <w:endnotePr>
    <w:endnote w:id="-1"/>
    <w:endnote w:id="0"/>
  </w:endnotePr>
  <w:compat/>
  <w:rsids>
    <w:rsidRoot w:val="006A2543"/>
    <w:rsid w:val="00000805"/>
    <w:rsid w:val="00001A15"/>
    <w:rsid w:val="00003A13"/>
    <w:rsid w:val="0000419C"/>
    <w:rsid w:val="0000450F"/>
    <w:rsid w:val="00004A14"/>
    <w:rsid w:val="0000722D"/>
    <w:rsid w:val="00007502"/>
    <w:rsid w:val="00011CED"/>
    <w:rsid w:val="00012E8B"/>
    <w:rsid w:val="00012F50"/>
    <w:rsid w:val="000135FD"/>
    <w:rsid w:val="00014FAB"/>
    <w:rsid w:val="00015F15"/>
    <w:rsid w:val="00017B1F"/>
    <w:rsid w:val="0002138D"/>
    <w:rsid w:val="0002182B"/>
    <w:rsid w:val="000222C2"/>
    <w:rsid w:val="000255A6"/>
    <w:rsid w:val="00025BB4"/>
    <w:rsid w:val="00025E8C"/>
    <w:rsid w:val="000275E6"/>
    <w:rsid w:val="00030829"/>
    <w:rsid w:val="000330C9"/>
    <w:rsid w:val="000338A1"/>
    <w:rsid w:val="000348A7"/>
    <w:rsid w:val="00034CF2"/>
    <w:rsid w:val="00035705"/>
    <w:rsid w:val="000360D0"/>
    <w:rsid w:val="00036737"/>
    <w:rsid w:val="00037922"/>
    <w:rsid w:val="00040C6D"/>
    <w:rsid w:val="00040D10"/>
    <w:rsid w:val="000427F1"/>
    <w:rsid w:val="00042C7D"/>
    <w:rsid w:val="00042D3B"/>
    <w:rsid w:val="000440A4"/>
    <w:rsid w:val="00047D15"/>
    <w:rsid w:val="0005168A"/>
    <w:rsid w:val="00051B40"/>
    <w:rsid w:val="00051BC1"/>
    <w:rsid w:val="00051BFA"/>
    <w:rsid w:val="00055BDD"/>
    <w:rsid w:val="00056F73"/>
    <w:rsid w:val="0006011F"/>
    <w:rsid w:val="00060328"/>
    <w:rsid w:val="00060465"/>
    <w:rsid w:val="00062795"/>
    <w:rsid w:val="00062870"/>
    <w:rsid w:val="00062958"/>
    <w:rsid w:val="00063292"/>
    <w:rsid w:val="00063FF3"/>
    <w:rsid w:val="00064587"/>
    <w:rsid w:val="0006562E"/>
    <w:rsid w:val="00065DA9"/>
    <w:rsid w:val="00065DD3"/>
    <w:rsid w:val="00070F73"/>
    <w:rsid w:val="00071AD1"/>
    <w:rsid w:val="00073006"/>
    <w:rsid w:val="0007406B"/>
    <w:rsid w:val="000759AE"/>
    <w:rsid w:val="00075FE0"/>
    <w:rsid w:val="00077E8B"/>
    <w:rsid w:val="0008054C"/>
    <w:rsid w:val="00082E7F"/>
    <w:rsid w:val="00082F22"/>
    <w:rsid w:val="0008366C"/>
    <w:rsid w:val="00083FB1"/>
    <w:rsid w:val="00085455"/>
    <w:rsid w:val="00085697"/>
    <w:rsid w:val="000863BC"/>
    <w:rsid w:val="00090246"/>
    <w:rsid w:val="00091A9B"/>
    <w:rsid w:val="000925E0"/>
    <w:rsid w:val="00092B17"/>
    <w:rsid w:val="000939E8"/>
    <w:rsid w:val="000948EB"/>
    <w:rsid w:val="00094D42"/>
    <w:rsid w:val="00094D68"/>
    <w:rsid w:val="00096318"/>
    <w:rsid w:val="0009672F"/>
    <w:rsid w:val="00096AED"/>
    <w:rsid w:val="000A0C58"/>
    <w:rsid w:val="000A1D28"/>
    <w:rsid w:val="000A2329"/>
    <w:rsid w:val="000A2885"/>
    <w:rsid w:val="000A3791"/>
    <w:rsid w:val="000A4584"/>
    <w:rsid w:val="000A5E05"/>
    <w:rsid w:val="000A6049"/>
    <w:rsid w:val="000A749D"/>
    <w:rsid w:val="000B45DD"/>
    <w:rsid w:val="000B6F96"/>
    <w:rsid w:val="000C1C8F"/>
    <w:rsid w:val="000C2369"/>
    <w:rsid w:val="000C451A"/>
    <w:rsid w:val="000C4FE6"/>
    <w:rsid w:val="000C56F0"/>
    <w:rsid w:val="000C74BF"/>
    <w:rsid w:val="000D1E22"/>
    <w:rsid w:val="000D2B58"/>
    <w:rsid w:val="000D3943"/>
    <w:rsid w:val="000D5542"/>
    <w:rsid w:val="000D6B34"/>
    <w:rsid w:val="000E12F9"/>
    <w:rsid w:val="000E1855"/>
    <w:rsid w:val="000E581A"/>
    <w:rsid w:val="000E5CE2"/>
    <w:rsid w:val="000F0F03"/>
    <w:rsid w:val="000F187B"/>
    <w:rsid w:val="000F1A73"/>
    <w:rsid w:val="000F2593"/>
    <w:rsid w:val="000F2F9B"/>
    <w:rsid w:val="000F31F7"/>
    <w:rsid w:val="000F32DF"/>
    <w:rsid w:val="000F3A03"/>
    <w:rsid w:val="000F4065"/>
    <w:rsid w:val="000F5112"/>
    <w:rsid w:val="000F5C07"/>
    <w:rsid w:val="000F5C67"/>
    <w:rsid w:val="000F78C0"/>
    <w:rsid w:val="00101023"/>
    <w:rsid w:val="00101937"/>
    <w:rsid w:val="001022A4"/>
    <w:rsid w:val="001033F0"/>
    <w:rsid w:val="00105413"/>
    <w:rsid w:val="001055B1"/>
    <w:rsid w:val="001060DA"/>
    <w:rsid w:val="00106702"/>
    <w:rsid w:val="00110CDF"/>
    <w:rsid w:val="00111457"/>
    <w:rsid w:val="001126CC"/>
    <w:rsid w:val="00112858"/>
    <w:rsid w:val="00112F79"/>
    <w:rsid w:val="0011332D"/>
    <w:rsid w:val="00117277"/>
    <w:rsid w:val="001213D2"/>
    <w:rsid w:val="001214AF"/>
    <w:rsid w:val="0012155F"/>
    <w:rsid w:val="001231D2"/>
    <w:rsid w:val="001239EE"/>
    <w:rsid w:val="00124346"/>
    <w:rsid w:val="00124AD4"/>
    <w:rsid w:val="00125A7A"/>
    <w:rsid w:val="0012635B"/>
    <w:rsid w:val="00126E21"/>
    <w:rsid w:val="001303B6"/>
    <w:rsid w:val="00130560"/>
    <w:rsid w:val="00131614"/>
    <w:rsid w:val="00133D8B"/>
    <w:rsid w:val="00134CC2"/>
    <w:rsid w:val="0013660C"/>
    <w:rsid w:val="00137491"/>
    <w:rsid w:val="0014080E"/>
    <w:rsid w:val="00140CAD"/>
    <w:rsid w:val="0014103E"/>
    <w:rsid w:val="001414BF"/>
    <w:rsid w:val="001440D9"/>
    <w:rsid w:val="00145298"/>
    <w:rsid w:val="00145CDE"/>
    <w:rsid w:val="00146646"/>
    <w:rsid w:val="00146A1F"/>
    <w:rsid w:val="00146CD4"/>
    <w:rsid w:val="00151A05"/>
    <w:rsid w:val="00152384"/>
    <w:rsid w:val="00152B38"/>
    <w:rsid w:val="00153C4B"/>
    <w:rsid w:val="00154890"/>
    <w:rsid w:val="001557CF"/>
    <w:rsid w:val="001561F6"/>
    <w:rsid w:val="00156A14"/>
    <w:rsid w:val="00156CF3"/>
    <w:rsid w:val="00157196"/>
    <w:rsid w:val="001574EE"/>
    <w:rsid w:val="001619F8"/>
    <w:rsid w:val="00161AC8"/>
    <w:rsid w:val="001622C3"/>
    <w:rsid w:val="00163C03"/>
    <w:rsid w:val="00164C88"/>
    <w:rsid w:val="00167105"/>
    <w:rsid w:val="0017021A"/>
    <w:rsid w:val="0017255E"/>
    <w:rsid w:val="00172FC8"/>
    <w:rsid w:val="0017316A"/>
    <w:rsid w:val="00174B02"/>
    <w:rsid w:val="00175321"/>
    <w:rsid w:val="0017533D"/>
    <w:rsid w:val="001765B6"/>
    <w:rsid w:val="00183050"/>
    <w:rsid w:val="00184971"/>
    <w:rsid w:val="00184DC0"/>
    <w:rsid w:val="00190962"/>
    <w:rsid w:val="0019300E"/>
    <w:rsid w:val="001936F2"/>
    <w:rsid w:val="00193AB7"/>
    <w:rsid w:val="00196384"/>
    <w:rsid w:val="001A035A"/>
    <w:rsid w:val="001A0376"/>
    <w:rsid w:val="001A188B"/>
    <w:rsid w:val="001A23A0"/>
    <w:rsid w:val="001A3E11"/>
    <w:rsid w:val="001A6EA0"/>
    <w:rsid w:val="001A7437"/>
    <w:rsid w:val="001A76C2"/>
    <w:rsid w:val="001A7946"/>
    <w:rsid w:val="001B0DC1"/>
    <w:rsid w:val="001B117A"/>
    <w:rsid w:val="001B2018"/>
    <w:rsid w:val="001B5088"/>
    <w:rsid w:val="001B6484"/>
    <w:rsid w:val="001B79C1"/>
    <w:rsid w:val="001C0A2C"/>
    <w:rsid w:val="001C34A5"/>
    <w:rsid w:val="001C38F5"/>
    <w:rsid w:val="001C3DB3"/>
    <w:rsid w:val="001C4A56"/>
    <w:rsid w:val="001C4ABD"/>
    <w:rsid w:val="001C4E96"/>
    <w:rsid w:val="001C6EB8"/>
    <w:rsid w:val="001D04AB"/>
    <w:rsid w:val="001D1C8A"/>
    <w:rsid w:val="001D2567"/>
    <w:rsid w:val="001D2F38"/>
    <w:rsid w:val="001D437A"/>
    <w:rsid w:val="001D5F2D"/>
    <w:rsid w:val="001E0F38"/>
    <w:rsid w:val="001E19D4"/>
    <w:rsid w:val="001E2525"/>
    <w:rsid w:val="001E35A7"/>
    <w:rsid w:val="001E646E"/>
    <w:rsid w:val="001E6D22"/>
    <w:rsid w:val="001F0C4C"/>
    <w:rsid w:val="001F1210"/>
    <w:rsid w:val="001F1CCD"/>
    <w:rsid w:val="001F223B"/>
    <w:rsid w:val="001F3B3C"/>
    <w:rsid w:val="001F5DE9"/>
    <w:rsid w:val="001F7B2B"/>
    <w:rsid w:val="002015A0"/>
    <w:rsid w:val="00201EFD"/>
    <w:rsid w:val="0020307A"/>
    <w:rsid w:val="002073A4"/>
    <w:rsid w:val="00207565"/>
    <w:rsid w:val="002102EC"/>
    <w:rsid w:val="002104C4"/>
    <w:rsid w:val="00211978"/>
    <w:rsid w:val="00212393"/>
    <w:rsid w:val="0021301D"/>
    <w:rsid w:val="00213383"/>
    <w:rsid w:val="0021434F"/>
    <w:rsid w:val="0021591C"/>
    <w:rsid w:val="002161B5"/>
    <w:rsid w:val="00217107"/>
    <w:rsid w:val="00217611"/>
    <w:rsid w:val="00217B2D"/>
    <w:rsid w:val="00217B6A"/>
    <w:rsid w:val="00220412"/>
    <w:rsid w:val="00222DA3"/>
    <w:rsid w:val="00223112"/>
    <w:rsid w:val="0022345F"/>
    <w:rsid w:val="00224334"/>
    <w:rsid w:val="00225A8B"/>
    <w:rsid w:val="002301B3"/>
    <w:rsid w:val="00232AB1"/>
    <w:rsid w:val="002340C3"/>
    <w:rsid w:val="00234495"/>
    <w:rsid w:val="0023474F"/>
    <w:rsid w:val="0023654E"/>
    <w:rsid w:val="002370F5"/>
    <w:rsid w:val="00237622"/>
    <w:rsid w:val="002401BE"/>
    <w:rsid w:val="00240984"/>
    <w:rsid w:val="00241885"/>
    <w:rsid w:val="00241A4B"/>
    <w:rsid w:val="00245F82"/>
    <w:rsid w:val="002475D8"/>
    <w:rsid w:val="002475EA"/>
    <w:rsid w:val="00252464"/>
    <w:rsid w:val="00252F71"/>
    <w:rsid w:val="00254663"/>
    <w:rsid w:val="00255FEB"/>
    <w:rsid w:val="00262752"/>
    <w:rsid w:val="002628B0"/>
    <w:rsid w:val="00262BAD"/>
    <w:rsid w:val="00262DEA"/>
    <w:rsid w:val="0026355F"/>
    <w:rsid w:val="00263F41"/>
    <w:rsid w:val="002641CA"/>
    <w:rsid w:val="00266BAB"/>
    <w:rsid w:val="0027152B"/>
    <w:rsid w:val="00272D4D"/>
    <w:rsid w:val="00273F24"/>
    <w:rsid w:val="0027400E"/>
    <w:rsid w:val="00274085"/>
    <w:rsid w:val="00274281"/>
    <w:rsid w:val="00274547"/>
    <w:rsid w:val="00274AB5"/>
    <w:rsid w:val="00276D7E"/>
    <w:rsid w:val="0028114B"/>
    <w:rsid w:val="00290B4B"/>
    <w:rsid w:val="00291CFE"/>
    <w:rsid w:val="002922E8"/>
    <w:rsid w:val="002941FD"/>
    <w:rsid w:val="00294C9F"/>
    <w:rsid w:val="00296140"/>
    <w:rsid w:val="00297F94"/>
    <w:rsid w:val="002A08E4"/>
    <w:rsid w:val="002A0F40"/>
    <w:rsid w:val="002A5A32"/>
    <w:rsid w:val="002A5EF2"/>
    <w:rsid w:val="002A6211"/>
    <w:rsid w:val="002A6868"/>
    <w:rsid w:val="002A71F0"/>
    <w:rsid w:val="002A7639"/>
    <w:rsid w:val="002A7874"/>
    <w:rsid w:val="002A78EF"/>
    <w:rsid w:val="002B0809"/>
    <w:rsid w:val="002B0C54"/>
    <w:rsid w:val="002B1B97"/>
    <w:rsid w:val="002B3459"/>
    <w:rsid w:val="002B3B28"/>
    <w:rsid w:val="002B45F3"/>
    <w:rsid w:val="002B5162"/>
    <w:rsid w:val="002B5867"/>
    <w:rsid w:val="002B5B8D"/>
    <w:rsid w:val="002B5FBF"/>
    <w:rsid w:val="002B6C2E"/>
    <w:rsid w:val="002B7E2F"/>
    <w:rsid w:val="002C3BE1"/>
    <w:rsid w:val="002C4805"/>
    <w:rsid w:val="002C4F42"/>
    <w:rsid w:val="002C678F"/>
    <w:rsid w:val="002C6996"/>
    <w:rsid w:val="002D275F"/>
    <w:rsid w:val="002D54B6"/>
    <w:rsid w:val="002E09CB"/>
    <w:rsid w:val="002E1234"/>
    <w:rsid w:val="002E2175"/>
    <w:rsid w:val="002E2A1B"/>
    <w:rsid w:val="002E57A4"/>
    <w:rsid w:val="002E6950"/>
    <w:rsid w:val="002E73B2"/>
    <w:rsid w:val="002E7AAC"/>
    <w:rsid w:val="002F06D0"/>
    <w:rsid w:val="002F3001"/>
    <w:rsid w:val="002F35FA"/>
    <w:rsid w:val="002F3F45"/>
    <w:rsid w:val="002F436A"/>
    <w:rsid w:val="002F4694"/>
    <w:rsid w:val="002F47C5"/>
    <w:rsid w:val="002F47C6"/>
    <w:rsid w:val="002F520B"/>
    <w:rsid w:val="002F69B0"/>
    <w:rsid w:val="002F7909"/>
    <w:rsid w:val="00300A51"/>
    <w:rsid w:val="003018CF"/>
    <w:rsid w:val="00302D4B"/>
    <w:rsid w:val="00303A54"/>
    <w:rsid w:val="0030426C"/>
    <w:rsid w:val="00304414"/>
    <w:rsid w:val="00305EFA"/>
    <w:rsid w:val="003063B7"/>
    <w:rsid w:val="00306951"/>
    <w:rsid w:val="003073E8"/>
    <w:rsid w:val="003114CC"/>
    <w:rsid w:val="00311D56"/>
    <w:rsid w:val="003141B4"/>
    <w:rsid w:val="003143E2"/>
    <w:rsid w:val="00314658"/>
    <w:rsid w:val="003153C2"/>
    <w:rsid w:val="00317BD5"/>
    <w:rsid w:val="00320D72"/>
    <w:rsid w:val="0032381D"/>
    <w:rsid w:val="003241AA"/>
    <w:rsid w:val="00325073"/>
    <w:rsid w:val="00325569"/>
    <w:rsid w:val="00331174"/>
    <w:rsid w:val="003375B3"/>
    <w:rsid w:val="00342530"/>
    <w:rsid w:val="00344460"/>
    <w:rsid w:val="00344F80"/>
    <w:rsid w:val="00345759"/>
    <w:rsid w:val="00346022"/>
    <w:rsid w:val="003463EF"/>
    <w:rsid w:val="00350C35"/>
    <w:rsid w:val="00352324"/>
    <w:rsid w:val="00352D37"/>
    <w:rsid w:val="00355C17"/>
    <w:rsid w:val="00357546"/>
    <w:rsid w:val="003608A1"/>
    <w:rsid w:val="00361CC4"/>
    <w:rsid w:val="00361E61"/>
    <w:rsid w:val="00362ECB"/>
    <w:rsid w:val="0036346B"/>
    <w:rsid w:val="0036416B"/>
    <w:rsid w:val="00364398"/>
    <w:rsid w:val="003667B4"/>
    <w:rsid w:val="00366B20"/>
    <w:rsid w:val="0036756C"/>
    <w:rsid w:val="00367B45"/>
    <w:rsid w:val="00371731"/>
    <w:rsid w:val="003739B3"/>
    <w:rsid w:val="00374272"/>
    <w:rsid w:val="00376AB9"/>
    <w:rsid w:val="0037719B"/>
    <w:rsid w:val="0037729E"/>
    <w:rsid w:val="00380AAB"/>
    <w:rsid w:val="00381374"/>
    <w:rsid w:val="0038327F"/>
    <w:rsid w:val="00383A19"/>
    <w:rsid w:val="003847DB"/>
    <w:rsid w:val="00386DBE"/>
    <w:rsid w:val="0038774B"/>
    <w:rsid w:val="003915C3"/>
    <w:rsid w:val="00391843"/>
    <w:rsid w:val="00392F11"/>
    <w:rsid w:val="00393633"/>
    <w:rsid w:val="0039568C"/>
    <w:rsid w:val="00396207"/>
    <w:rsid w:val="003A0541"/>
    <w:rsid w:val="003A14B0"/>
    <w:rsid w:val="003A2C2D"/>
    <w:rsid w:val="003A315E"/>
    <w:rsid w:val="003A3F72"/>
    <w:rsid w:val="003A4BA6"/>
    <w:rsid w:val="003A68D5"/>
    <w:rsid w:val="003A7BA6"/>
    <w:rsid w:val="003B0691"/>
    <w:rsid w:val="003B17DA"/>
    <w:rsid w:val="003B2756"/>
    <w:rsid w:val="003B34D5"/>
    <w:rsid w:val="003B490A"/>
    <w:rsid w:val="003B5A12"/>
    <w:rsid w:val="003B5F70"/>
    <w:rsid w:val="003C2216"/>
    <w:rsid w:val="003C282A"/>
    <w:rsid w:val="003C4229"/>
    <w:rsid w:val="003C464D"/>
    <w:rsid w:val="003C508B"/>
    <w:rsid w:val="003C7405"/>
    <w:rsid w:val="003C7526"/>
    <w:rsid w:val="003D0470"/>
    <w:rsid w:val="003D0967"/>
    <w:rsid w:val="003D278B"/>
    <w:rsid w:val="003D39A8"/>
    <w:rsid w:val="003D3D1A"/>
    <w:rsid w:val="003D5C77"/>
    <w:rsid w:val="003D61DE"/>
    <w:rsid w:val="003E05FF"/>
    <w:rsid w:val="003E1715"/>
    <w:rsid w:val="003E1A5D"/>
    <w:rsid w:val="003E1F58"/>
    <w:rsid w:val="003E220D"/>
    <w:rsid w:val="003E490D"/>
    <w:rsid w:val="003E4D50"/>
    <w:rsid w:val="003E516C"/>
    <w:rsid w:val="003E6E81"/>
    <w:rsid w:val="003F1492"/>
    <w:rsid w:val="003F1E24"/>
    <w:rsid w:val="003F36DC"/>
    <w:rsid w:val="003F3ACC"/>
    <w:rsid w:val="003F3B93"/>
    <w:rsid w:val="003F4F99"/>
    <w:rsid w:val="003F6C06"/>
    <w:rsid w:val="003F7120"/>
    <w:rsid w:val="004010F8"/>
    <w:rsid w:val="0040187A"/>
    <w:rsid w:val="00404435"/>
    <w:rsid w:val="004045F9"/>
    <w:rsid w:val="00406708"/>
    <w:rsid w:val="00407AB0"/>
    <w:rsid w:val="00410B30"/>
    <w:rsid w:val="004111C3"/>
    <w:rsid w:val="00412A19"/>
    <w:rsid w:val="00414048"/>
    <w:rsid w:val="00415781"/>
    <w:rsid w:val="00415A92"/>
    <w:rsid w:val="00417A81"/>
    <w:rsid w:val="004244D3"/>
    <w:rsid w:val="00424E1B"/>
    <w:rsid w:val="00425637"/>
    <w:rsid w:val="00425A9E"/>
    <w:rsid w:val="00427044"/>
    <w:rsid w:val="004305A1"/>
    <w:rsid w:val="00431C97"/>
    <w:rsid w:val="004347E2"/>
    <w:rsid w:val="0043492C"/>
    <w:rsid w:val="00434A5E"/>
    <w:rsid w:val="00434E3F"/>
    <w:rsid w:val="00435AEC"/>
    <w:rsid w:val="00436ECB"/>
    <w:rsid w:val="004370C5"/>
    <w:rsid w:val="00440458"/>
    <w:rsid w:val="00441BF8"/>
    <w:rsid w:val="00443DA3"/>
    <w:rsid w:val="004441C7"/>
    <w:rsid w:val="0044458F"/>
    <w:rsid w:val="0044556F"/>
    <w:rsid w:val="004526AD"/>
    <w:rsid w:val="00453841"/>
    <w:rsid w:val="004549F4"/>
    <w:rsid w:val="004558C1"/>
    <w:rsid w:val="004566D2"/>
    <w:rsid w:val="00456975"/>
    <w:rsid w:val="00457A08"/>
    <w:rsid w:val="00460749"/>
    <w:rsid w:val="004634B1"/>
    <w:rsid w:val="00464534"/>
    <w:rsid w:val="00464F86"/>
    <w:rsid w:val="004655CF"/>
    <w:rsid w:val="00465969"/>
    <w:rsid w:val="00466198"/>
    <w:rsid w:val="0046638F"/>
    <w:rsid w:val="004667EB"/>
    <w:rsid w:val="004676E5"/>
    <w:rsid w:val="00480FCA"/>
    <w:rsid w:val="00481120"/>
    <w:rsid w:val="00482FFD"/>
    <w:rsid w:val="004834C1"/>
    <w:rsid w:val="00483F3B"/>
    <w:rsid w:val="00484CE2"/>
    <w:rsid w:val="00485356"/>
    <w:rsid w:val="0048798C"/>
    <w:rsid w:val="0049149B"/>
    <w:rsid w:val="004928F9"/>
    <w:rsid w:val="00493221"/>
    <w:rsid w:val="00494532"/>
    <w:rsid w:val="0049574C"/>
    <w:rsid w:val="00495CED"/>
    <w:rsid w:val="00496372"/>
    <w:rsid w:val="004963AA"/>
    <w:rsid w:val="0049775D"/>
    <w:rsid w:val="004A08A1"/>
    <w:rsid w:val="004A206C"/>
    <w:rsid w:val="004A5EC4"/>
    <w:rsid w:val="004A61B1"/>
    <w:rsid w:val="004A6B2D"/>
    <w:rsid w:val="004B0A4E"/>
    <w:rsid w:val="004B2E73"/>
    <w:rsid w:val="004B417C"/>
    <w:rsid w:val="004B478B"/>
    <w:rsid w:val="004B4D90"/>
    <w:rsid w:val="004B57BC"/>
    <w:rsid w:val="004B5AD7"/>
    <w:rsid w:val="004B5AFD"/>
    <w:rsid w:val="004B5CBC"/>
    <w:rsid w:val="004B69EC"/>
    <w:rsid w:val="004B7A9E"/>
    <w:rsid w:val="004C5E8A"/>
    <w:rsid w:val="004C5FE0"/>
    <w:rsid w:val="004C7B02"/>
    <w:rsid w:val="004C7F62"/>
    <w:rsid w:val="004D24AE"/>
    <w:rsid w:val="004D2729"/>
    <w:rsid w:val="004D64A3"/>
    <w:rsid w:val="004D6E13"/>
    <w:rsid w:val="004D74A1"/>
    <w:rsid w:val="004D7962"/>
    <w:rsid w:val="004E1C2F"/>
    <w:rsid w:val="004E1E22"/>
    <w:rsid w:val="004E24FB"/>
    <w:rsid w:val="004E2F46"/>
    <w:rsid w:val="004E37A7"/>
    <w:rsid w:val="004E3CFF"/>
    <w:rsid w:val="004E5884"/>
    <w:rsid w:val="004E5A6F"/>
    <w:rsid w:val="004F013F"/>
    <w:rsid w:val="004F015B"/>
    <w:rsid w:val="004F0636"/>
    <w:rsid w:val="004F14F3"/>
    <w:rsid w:val="004F7276"/>
    <w:rsid w:val="005000E0"/>
    <w:rsid w:val="00501529"/>
    <w:rsid w:val="00501C2D"/>
    <w:rsid w:val="005027E5"/>
    <w:rsid w:val="00503597"/>
    <w:rsid w:val="0050417D"/>
    <w:rsid w:val="005043F8"/>
    <w:rsid w:val="005046C4"/>
    <w:rsid w:val="00505050"/>
    <w:rsid w:val="00505460"/>
    <w:rsid w:val="0050732F"/>
    <w:rsid w:val="00510694"/>
    <w:rsid w:val="0051390F"/>
    <w:rsid w:val="00515FDA"/>
    <w:rsid w:val="0051654A"/>
    <w:rsid w:val="00516EEC"/>
    <w:rsid w:val="005177F0"/>
    <w:rsid w:val="005233A0"/>
    <w:rsid w:val="00523559"/>
    <w:rsid w:val="005236B8"/>
    <w:rsid w:val="0052521E"/>
    <w:rsid w:val="005355DE"/>
    <w:rsid w:val="00535FA5"/>
    <w:rsid w:val="00540043"/>
    <w:rsid w:val="00541023"/>
    <w:rsid w:val="00541677"/>
    <w:rsid w:val="00543167"/>
    <w:rsid w:val="00544D7D"/>
    <w:rsid w:val="00545FFD"/>
    <w:rsid w:val="00546C4E"/>
    <w:rsid w:val="0054788E"/>
    <w:rsid w:val="00550658"/>
    <w:rsid w:val="0055107A"/>
    <w:rsid w:val="0055172B"/>
    <w:rsid w:val="0055588E"/>
    <w:rsid w:val="0055744B"/>
    <w:rsid w:val="00561B4A"/>
    <w:rsid w:val="005622DD"/>
    <w:rsid w:val="00562711"/>
    <w:rsid w:val="005648D7"/>
    <w:rsid w:val="005660D2"/>
    <w:rsid w:val="0057160C"/>
    <w:rsid w:val="00571931"/>
    <w:rsid w:val="00571EB1"/>
    <w:rsid w:val="00574569"/>
    <w:rsid w:val="00576E2E"/>
    <w:rsid w:val="00580E24"/>
    <w:rsid w:val="005812C4"/>
    <w:rsid w:val="00581CCB"/>
    <w:rsid w:val="005820C4"/>
    <w:rsid w:val="00582B9F"/>
    <w:rsid w:val="00585589"/>
    <w:rsid w:val="00585BDD"/>
    <w:rsid w:val="005867DD"/>
    <w:rsid w:val="005878A6"/>
    <w:rsid w:val="00587B0B"/>
    <w:rsid w:val="00591098"/>
    <w:rsid w:val="00592462"/>
    <w:rsid w:val="00594184"/>
    <w:rsid w:val="00595688"/>
    <w:rsid w:val="005960C6"/>
    <w:rsid w:val="00597CEC"/>
    <w:rsid w:val="005A0B02"/>
    <w:rsid w:val="005A1A94"/>
    <w:rsid w:val="005A1DA2"/>
    <w:rsid w:val="005A2F37"/>
    <w:rsid w:val="005A32E5"/>
    <w:rsid w:val="005A3463"/>
    <w:rsid w:val="005A4C01"/>
    <w:rsid w:val="005A5F4A"/>
    <w:rsid w:val="005A6887"/>
    <w:rsid w:val="005A750A"/>
    <w:rsid w:val="005B02B6"/>
    <w:rsid w:val="005B0595"/>
    <w:rsid w:val="005B060D"/>
    <w:rsid w:val="005B306D"/>
    <w:rsid w:val="005B32EF"/>
    <w:rsid w:val="005B3DF6"/>
    <w:rsid w:val="005C16DB"/>
    <w:rsid w:val="005C2117"/>
    <w:rsid w:val="005C3048"/>
    <w:rsid w:val="005C4592"/>
    <w:rsid w:val="005C51D2"/>
    <w:rsid w:val="005C5380"/>
    <w:rsid w:val="005C5FDA"/>
    <w:rsid w:val="005C61C3"/>
    <w:rsid w:val="005D3079"/>
    <w:rsid w:val="005D4BE9"/>
    <w:rsid w:val="005D5650"/>
    <w:rsid w:val="005D662C"/>
    <w:rsid w:val="005D6ACF"/>
    <w:rsid w:val="005D6C10"/>
    <w:rsid w:val="005E075E"/>
    <w:rsid w:val="005E0C32"/>
    <w:rsid w:val="005E17CF"/>
    <w:rsid w:val="005E2C82"/>
    <w:rsid w:val="005E3061"/>
    <w:rsid w:val="005E375C"/>
    <w:rsid w:val="005E500F"/>
    <w:rsid w:val="005E75D2"/>
    <w:rsid w:val="005F00A4"/>
    <w:rsid w:val="005F0198"/>
    <w:rsid w:val="005F266C"/>
    <w:rsid w:val="005F3346"/>
    <w:rsid w:val="005F38CF"/>
    <w:rsid w:val="005F4217"/>
    <w:rsid w:val="005F45F3"/>
    <w:rsid w:val="00603F80"/>
    <w:rsid w:val="00604BF9"/>
    <w:rsid w:val="00604FA2"/>
    <w:rsid w:val="006054C8"/>
    <w:rsid w:val="0060678E"/>
    <w:rsid w:val="00610C8D"/>
    <w:rsid w:val="0061201B"/>
    <w:rsid w:val="00612408"/>
    <w:rsid w:val="006132A3"/>
    <w:rsid w:val="006133B9"/>
    <w:rsid w:val="0061418E"/>
    <w:rsid w:val="0061441F"/>
    <w:rsid w:val="0061452A"/>
    <w:rsid w:val="00614BCD"/>
    <w:rsid w:val="006164BE"/>
    <w:rsid w:val="00616831"/>
    <w:rsid w:val="00616C92"/>
    <w:rsid w:val="00620943"/>
    <w:rsid w:val="006213B4"/>
    <w:rsid w:val="0062332D"/>
    <w:rsid w:val="006233DF"/>
    <w:rsid w:val="00623A61"/>
    <w:rsid w:val="00624C83"/>
    <w:rsid w:val="00625686"/>
    <w:rsid w:val="006262ED"/>
    <w:rsid w:val="0062692E"/>
    <w:rsid w:val="00626DE9"/>
    <w:rsid w:val="00627A06"/>
    <w:rsid w:val="006300F3"/>
    <w:rsid w:val="00630206"/>
    <w:rsid w:val="006308FD"/>
    <w:rsid w:val="00631966"/>
    <w:rsid w:val="00631F7F"/>
    <w:rsid w:val="00634626"/>
    <w:rsid w:val="00634740"/>
    <w:rsid w:val="006359B3"/>
    <w:rsid w:val="00635CFD"/>
    <w:rsid w:val="00637A3E"/>
    <w:rsid w:val="00640EB6"/>
    <w:rsid w:val="006414D7"/>
    <w:rsid w:val="00641FC8"/>
    <w:rsid w:val="006423DF"/>
    <w:rsid w:val="00642E28"/>
    <w:rsid w:val="00643128"/>
    <w:rsid w:val="00643683"/>
    <w:rsid w:val="006440DD"/>
    <w:rsid w:val="00645550"/>
    <w:rsid w:val="006457A9"/>
    <w:rsid w:val="00646B73"/>
    <w:rsid w:val="0064793B"/>
    <w:rsid w:val="00647A23"/>
    <w:rsid w:val="00650EC3"/>
    <w:rsid w:val="0065231F"/>
    <w:rsid w:val="006523C0"/>
    <w:rsid w:val="006523C7"/>
    <w:rsid w:val="00653C1A"/>
    <w:rsid w:val="006555A7"/>
    <w:rsid w:val="00662314"/>
    <w:rsid w:val="00662C7C"/>
    <w:rsid w:val="00663D37"/>
    <w:rsid w:val="0066412F"/>
    <w:rsid w:val="006655F6"/>
    <w:rsid w:val="006656CA"/>
    <w:rsid w:val="00666190"/>
    <w:rsid w:val="00666A67"/>
    <w:rsid w:val="006679DA"/>
    <w:rsid w:val="00670664"/>
    <w:rsid w:val="00672B21"/>
    <w:rsid w:val="0067353B"/>
    <w:rsid w:val="00673E27"/>
    <w:rsid w:val="006748FA"/>
    <w:rsid w:val="00675FD8"/>
    <w:rsid w:val="00677016"/>
    <w:rsid w:val="0067752A"/>
    <w:rsid w:val="00677735"/>
    <w:rsid w:val="0068268B"/>
    <w:rsid w:val="0068282E"/>
    <w:rsid w:val="00682A04"/>
    <w:rsid w:val="00682FE9"/>
    <w:rsid w:val="00684EEC"/>
    <w:rsid w:val="00685D0C"/>
    <w:rsid w:val="00685EC5"/>
    <w:rsid w:val="00686D0B"/>
    <w:rsid w:val="006876E0"/>
    <w:rsid w:val="00687963"/>
    <w:rsid w:val="006879AD"/>
    <w:rsid w:val="00690D8A"/>
    <w:rsid w:val="00691B93"/>
    <w:rsid w:val="0069214A"/>
    <w:rsid w:val="00693E15"/>
    <w:rsid w:val="0069582F"/>
    <w:rsid w:val="00695E94"/>
    <w:rsid w:val="006A0358"/>
    <w:rsid w:val="006A1097"/>
    <w:rsid w:val="006A193F"/>
    <w:rsid w:val="006A1D95"/>
    <w:rsid w:val="006A213A"/>
    <w:rsid w:val="006A2543"/>
    <w:rsid w:val="006A5874"/>
    <w:rsid w:val="006A5EC4"/>
    <w:rsid w:val="006B1247"/>
    <w:rsid w:val="006B195B"/>
    <w:rsid w:val="006B1B03"/>
    <w:rsid w:val="006B29FB"/>
    <w:rsid w:val="006B400D"/>
    <w:rsid w:val="006B4BCC"/>
    <w:rsid w:val="006B4FEF"/>
    <w:rsid w:val="006B553B"/>
    <w:rsid w:val="006B613E"/>
    <w:rsid w:val="006B68F2"/>
    <w:rsid w:val="006B70AD"/>
    <w:rsid w:val="006B7124"/>
    <w:rsid w:val="006B7BA5"/>
    <w:rsid w:val="006C0DB7"/>
    <w:rsid w:val="006C1604"/>
    <w:rsid w:val="006C39D4"/>
    <w:rsid w:val="006C78E2"/>
    <w:rsid w:val="006C7C71"/>
    <w:rsid w:val="006D071E"/>
    <w:rsid w:val="006D08F9"/>
    <w:rsid w:val="006D1235"/>
    <w:rsid w:val="006D3DF9"/>
    <w:rsid w:val="006D3E22"/>
    <w:rsid w:val="006D4333"/>
    <w:rsid w:val="006D47AA"/>
    <w:rsid w:val="006D4E3B"/>
    <w:rsid w:val="006E02F4"/>
    <w:rsid w:val="006E0D3A"/>
    <w:rsid w:val="006E29E2"/>
    <w:rsid w:val="006E48E0"/>
    <w:rsid w:val="006E4F99"/>
    <w:rsid w:val="006E56C9"/>
    <w:rsid w:val="006F0666"/>
    <w:rsid w:val="006F06F8"/>
    <w:rsid w:val="006F0A67"/>
    <w:rsid w:val="006F1B00"/>
    <w:rsid w:val="006F1CAD"/>
    <w:rsid w:val="006F2798"/>
    <w:rsid w:val="006F3277"/>
    <w:rsid w:val="006F43E6"/>
    <w:rsid w:val="006F4A6E"/>
    <w:rsid w:val="006F4CC8"/>
    <w:rsid w:val="006F6893"/>
    <w:rsid w:val="006F7D22"/>
    <w:rsid w:val="00703932"/>
    <w:rsid w:val="007046E9"/>
    <w:rsid w:val="0070514D"/>
    <w:rsid w:val="00707538"/>
    <w:rsid w:val="007130AE"/>
    <w:rsid w:val="0071399A"/>
    <w:rsid w:val="00715D9B"/>
    <w:rsid w:val="00720658"/>
    <w:rsid w:val="0072548D"/>
    <w:rsid w:val="0072569D"/>
    <w:rsid w:val="00726059"/>
    <w:rsid w:val="00726CC2"/>
    <w:rsid w:val="00726EB5"/>
    <w:rsid w:val="007279F2"/>
    <w:rsid w:val="00730623"/>
    <w:rsid w:val="0073129D"/>
    <w:rsid w:val="00733F5A"/>
    <w:rsid w:val="007347A7"/>
    <w:rsid w:val="00735544"/>
    <w:rsid w:val="00736521"/>
    <w:rsid w:val="00737AA6"/>
    <w:rsid w:val="0074054E"/>
    <w:rsid w:val="00742BA9"/>
    <w:rsid w:val="007431D4"/>
    <w:rsid w:val="00744383"/>
    <w:rsid w:val="00747097"/>
    <w:rsid w:val="00747E60"/>
    <w:rsid w:val="0075101E"/>
    <w:rsid w:val="00754041"/>
    <w:rsid w:val="0075591A"/>
    <w:rsid w:val="007565E3"/>
    <w:rsid w:val="007577B1"/>
    <w:rsid w:val="00757C81"/>
    <w:rsid w:val="00760DEF"/>
    <w:rsid w:val="00761DA5"/>
    <w:rsid w:val="007622AE"/>
    <w:rsid w:val="0076262D"/>
    <w:rsid w:val="00762895"/>
    <w:rsid w:val="00762945"/>
    <w:rsid w:val="00763850"/>
    <w:rsid w:val="0076409C"/>
    <w:rsid w:val="0076469E"/>
    <w:rsid w:val="0077070D"/>
    <w:rsid w:val="00772AEB"/>
    <w:rsid w:val="00772E75"/>
    <w:rsid w:val="00772F51"/>
    <w:rsid w:val="007740E0"/>
    <w:rsid w:val="00776EC7"/>
    <w:rsid w:val="00777629"/>
    <w:rsid w:val="00777651"/>
    <w:rsid w:val="0078044F"/>
    <w:rsid w:val="00782F43"/>
    <w:rsid w:val="00785849"/>
    <w:rsid w:val="00786B55"/>
    <w:rsid w:val="00790066"/>
    <w:rsid w:val="007907B0"/>
    <w:rsid w:val="007918C7"/>
    <w:rsid w:val="00791A0A"/>
    <w:rsid w:val="007921A1"/>
    <w:rsid w:val="0079283F"/>
    <w:rsid w:val="00793955"/>
    <w:rsid w:val="0079424F"/>
    <w:rsid w:val="007967BE"/>
    <w:rsid w:val="00797AD5"/>
    <w:rsid w:val="007A1B6F"/>
    <w:rsid w:val="007A21D4"/>
    <w:rsid w:val="007A3DD2"/>
    <w:rsid w:val="007A6179"/>
    <w:rsid w:val="007A777D"/>
    <w:rsid w:val="007A7F21"/>
    <w:rsid w:val="007B0177"/>
    <w:rsid w:val="007B04C3"/>
    <w:rsid w:val="007B61ED"/>
    <w:rsid w:val="007B73C3"/>
    <w:rsid w:val="007C161D"/>
    <w:rsid w:val="007C3308"/>
    <w:rsid w:val="007C6E02"/>
    <w:rsid w:val="007D0150"/>
    <w:rsid w:val="007D299F"/>
    <w:rsid w:val="007D6452"/>
    <w:rsid w:val="007D64A7"/>
    <w:rsid w:val="007D6C27"/>
    <w:rsid w:val="007D72BD"/>
    <w:rsid w:val="007E0AC0"/>
    <w:rsid w:val="007E1BAB"/>
    <w:rsid w:val="007E1BAD"/>
    <w:rsid w:val="007E205A"/>
    <w:rsid w:val="007E28B7"/>
    <w:rsid w:val="007E2B77"/>
    <w:rsid w:val="007E343F"/>
    <w:rsid w:val="007E50CA"/>
    <w:rsid w:val="007E65F2"/>
    <w:rsid w:val="007E6FD7"/>
    <w:rsid w:val="007F1FB1"/>
    <w:rsid w:val="007F4BA9"/>
    <w:rsid w:val="007F592B"/>
    <w:rsid w:val="007F637F"/>
    <w:rsid w:val="007F63DF"/>
    <w:rsid w:val="007F67BF"/>
    <w:rsid w:val="007F6C73"/>
    <w:rsid w:val="007F7423"/>
    <w:rsid w:val="00801310"/>
    <w:rsid w:val="00801D1F"/>
    <w:rsid w:val="00802C1E"/>
    <w:rsid w:val="00802D4D"/>
    <w:rsid w:val="00803E49"/>
    <w:rsid w:val="00805584"/>
    <w:rsid w:val="00806447"/>
    <w:rsid w:val="008079FF"/>
    <w:rsid w:val="00807D4D"/>
    <w:rsid w:val="00810A8E"/>
    <w:rsid w:val="00811EF3"/>
    <w:rsid w:val="008121FD"/>
    <w:rsid w:val="00812BB6"/>
    <w:rsid w:val="00814062"/>
    <w:rsid w:val="00814235"/>
    <w:rsid w:val="00815710"/>
    <w:rsid w:val="00816D0D"/>
    <w:rsid w:val="00816F09"/>
    <w:rsid w:val="00817E09"/>
    <w:rsid w:val="00817F92"/>
    <w:rsid w:val="008201F4"/>
    <w:rsid w:val="00820345"/>
    <w:rsid w:val="00821F61"/>
    <w:rsid w:val="00823023"/>
    <w:rsid w:val="008233DC"/>
    <w:rsid w:val="00823A89"/>
    <w:rsid w:val="008261A8"/>
    <w:rsid w:val="00830055"/>
    <w:rsid w:val="008307E5"/>
    <w:rsid w:val="008340D3"/>
    <w:rsid w:val="00835389"/>
    <w:rsid w:val="00835EEB"/>
    <w:rsid w:val="00836D77"/>
    <w:rsid w:val="008414BA"/>
    <w:rsid w:val="00842DF3"/>
    <w:rsid w:val="008434AD"/>
    <w:rsid w:val="00844BB2"/>
    <w:rsid w:val="008454B1"/>
    <w:rsid w:val="008459F1"/>
    <w:rsid w:val="0084669C"/>
    <w:rsid w:val="00846B6D"/>
    <w:rsid w:val="00847F2E"/>
    <w:rsid w:val="00847FA3"/>
    <w:rsid w:val="00850AD1"/>
    <w:rsid w:val="00851FEB"/>
    <w:rsid w:val="00852BD7"/>
    <w:rsid w:val="00855692"/>
    <w:rsid w:val="00855728"/>
    <w:rsid w:val="008561EC"/>
    <w:rsid w:val="00856A85"/>
    <w:rsid w:val="00860F4B"/>
    <w:rsid w:val="0086149D"/>
    <w:rsid w:val="00861A5A"/>
    <w:rsid w:val="00862AFA"/>
    <w:rsid w:val="008635E4"/>
    <w:rsid w:val="00865010"/>
    <w:rsid w:val="00865106"/>
    <w:rsid w:val="008673D8"/>
    <w:rsid w:val="00867A2D"/>
    <w:rsid w:val="00870483"/>
    <w:rsid w:val="008706D3"/>
    <w:rsid w:val="00872AF7"/>
    <w:rsid w:val="00873A3E"/>
    <w:rsid w:val="00873B6D"/>
    <w:rsid w:val="00874CA6"/>
    <w:rsid w:val="00874DC1"/>
    <w:rsid w:val="00876E2A"/>
    <w:rsid w:val="0087703D"/>
    <w:rsid w:val="008774DD"/>
    <w:rsid w:val="00881499"/>
    <w:rsid w:val="00882E3C"/>
    <w:rsid w:val="008858B3"/>
    <w:rsid w:val="00885C76"/>
    <w:rsid w:val="00885FE6"/>
    <w:rsid w:val="00886B9A"/>
    <w:rsid w:val="00887571"/>
    <w:rsid w:val="00887885"/>
    <w:rsid w:val="00887CBD"/>
    <w:rsid w:val="00890BFA"/>
    <w:rsid w:val="00891CF6"/>
    <w:rsid w:val="00891FF8"/>
    <w:rsid w:val="0089285D"/>
    <w:rsid w:val="00893462"/>
    <w:rsid w:val="008941D4"/>
    <w:rsid w:val="008948C1"/>
    <w:rsid w:val="00894E5E"/>
    <w:rsid w:val="008976FB"/>
    <w:rsid w:val="00897C4C"/>
    <w:rsid w:val="008A130D"/>
    <w:rsid w:val="008A299B"/>
    <w:rsid w:val="008A4419"/>
    <w:rsid w:val="008A4679"/>
    <w:rsid w:val="008A4CC2"/>
    <w:rsid w:val="008A6F34"/>
    <w:rsid w:val="008B03E7"/>
    <w:rsid w:val="008B1528"/>
    <w:rsid w:val="008B2705"/>
    <w:rsid w:val="008B34B5"/>
    <w:rsid w:val="008B5C97"/>
    <w:rsid w:val="008B76A7"/>
    <w:rsid w:val="008B783B"/>
    <w:rsid w:val="008C2EB2"/>
    <w:rsid w:val="008C51F9"/>
    <w:rsid w:val="008C5487"/>
    <w:rsid w:val="008C5684"/>
    <w:rsid w:val="008C6620"/>
    <w:rsid w:val="008C6DCC"/>
    <w:rsid w:val="008D0C5B"/>
    <w:rsid w:val="008D1C39"/>
    <w:rsid w:val="008D2B2F"/>
    <w:rsid w:val="008D3C1E"/>
    <w:rsid w:val="008D4BD0"/>
    <w:rsid w:val="008D5ACC"/>
    <w:rsid w:val="008D6296"/>
    <w:rsid w:val="008D679A"/>
    <w:rsid w:val="008E07E6"/>
    <w:rsid w:val="008E45FF"/>
    <w:rsid w:val="008E530B"/>
    <w:rsid w:val="008E6296"/>
    <w:rsid w:val="008F097A"/>
    <w:rsid w:val="008F2D9E"/>
    <w:rsid w:val="008F4348"/>
    <w:rsid w:val="008F5D0A"/>
    <w:rsid w:val="008F6C55"/>
    <w:rsid w:val="008F7C09"/>
    <w:rsid w:val="0090055E"/>
    <w:rsid w:val="00901310"/>
    <w:rsid w:val="0090198C"/>
    <w:rsid w:val="00901E5E"/>
    <w:rsid w:val="00902820"/>
    <w:rsid w:val="00903AF5"/>
    <w:rsid w:val="009043A9"/>
    <w:rsid w:val="00905849"/>
    <w:rsid w:val="00905AA1"/>
    <w:rsid w:val="00906671"/>
    <w:rsid w:val="00907219"/>
    <w:rsid w:val="009137CD"/>
    <w:rsid w:val="00913961"/>
    <w:rsid w:val="00913F06"/>
    <w:rsid w:val="00914472"/>
    <w:rsid w:val="00915E21"/>
    <w:rsid w:val="00916F1F"/>
    <w:rsid w:val="00920CE3"/>
    <w:rsid w:val="0092124B"/>
    <w:rsid w:val="009212C6"/>
    <w:rsid w:val="009222E9"/>
    <w:rsid w:val="00924C11"/>
    <w:rsid w:val="00924D7C"/>
    <w:rsid w:val="00925613"/>
    <w:rsid w:val="00925EBD"/>
    <w:rsid w:val="00925F84"/>
    <w:rsid w:val="009262B6"/>
    <w:rsid w:val="009274E9"/>
    <w:rsid w:val="009306F0"/>
    <w:rsid w:val="00940301"/>
    <w:rsid w:val="00940EAF"/>
    <w:rsid w:val="00943753"/>
    <w:rsid w:val="009477A3"/>
    <w:rsid w:val="009504BC"/>
    <w:rsid w:val="00950F06"/>
    <w:rsid w:val="00950F46"/>
    <w:rsid w:val="00950FF8"/>
    <w:rsid w:val="00955811"/>
    <w:rsid w:val="00956212"/>
    <w:rsid w:val="00956684"/>
    <w:rsid w:val="009609D9"/>
    <w:rsid w:val="00961007"/>
    <w:rsid w:val="0096183A"/>
    <w:rsid w:val="009634D3"/>
    <w:rsid w:val="00963684"/>
    <w:rsid w:val="00965938"/>
    <w:rsid w:val="0097064C"/>
    <w:rsid w:val="00971275"/>
    <w:rsid w:val="00971733"/>
    <w:rsid w:val="00972B6E"/>
    <w:rsid w:val="00972F90"/>
    <w:rsid w:val="00974D9E"/>
    <w:rsid w:val="009778F0"/>
    <w:rsid w:val="00977B4C"/>
    <w:rsid w:val="0098062E"/>
    <w:rsid w:val="00982866"/>
    <w:rsid w:val="00984282"/>
    <w:rsid w:val="009868C8"/>
    <w:rsid w:val="00986B5B"/>
    <w:rsid w:val="009910C6"/>
    <w:rsid w:val="0099394C"/>
    <w:rsid w:val="00993E7C"/>
    <w:rsid w:val="009A0F82"/>
    <w:rsid w:val="009A3ACD"/>
    <w:rsid w:val="009A5893"/>
    <w:rsid w:val="009A6E3D"/>
    <w:rsid w:val="009B0248"/>
    <w:rsid w:val="009B75A3"/>
    <w:rsid w:val="009C0C56"/>
    <w:rsid w:val="009C169C"/>
    <w:rsid w:val="009C19D2"/>
    <w:rsid w:val="009C3864"/>
    <w:rsid w:val="009C39D8"/>
    <w:rsid w:val="009C3A4C"/>
    <w:rsid w:val="009C6465"/>
    <w:rsid w:val="009C6E8C"/>
    <w:rsid w:val="009D0374"/>
    <w:rsid w:val="009D0E7A"/>
    <w:rsid w:val="009D14D5"/>
    <w:rsid w:val="009D2D17"/>
    <w:rsid w:val="009D3DFF"/>
    <w:rsid w:val="009D59B9"/>
    <w:rsid w:val="009D7268"/>
    <w:rsid w:val="009D7464"/>
    <w:rsid w:val="009E3557"/>
    <w:rsid w:val="009E369E"/>
    <w:rsid w:val="009E4BB6"/>
    <w:rsid w:val="009E576A"/>
    <w:rsid w:val="009E6E30"/>
    <w:rsid w:val="009E6FFD"/>
    <w:rsid w:val="009E74EF"/>
    <w:rsid w:val="009E7A4D"/>
    <w:rsid w:val="009F06FC"/>
    <w:rsid w:val="009F088E"/>
    <w:rsid w:val="009F1450"/>
    <w:rsid w:val="009F281A"/>
    <w:rsid w:val="009F2CFC"/>
    <w:rsid w:val="009F3FF5"/>
    <w:rsid w:val="009F4725"/>
    <w:rsid w:val="009F5520"/>
    <w:rsid w:val="009F62A6"/>
    <w:rsid w:val="009F79F6"/>
    <w:rsid w:val="009F7D0C"/>
    <w:rsid w:val="00A00AE6"/>
    <w:rsid w:val="00A00DBA"/>
    <w:rsid w:val="00A0194C"/>
    <w:rsid w:val="00A02BE1"/>
    <w:rsid w:val="00A04356"/>
    <w:rsid w:val="00A06751"/>
    <w:rsid w:val="00A07310"/>
    <w:rsid w:val="00A128FE"/>
    <w:rsid w:val="00A12970"/>
    <w:rsid w:val="00A12E4F"/>
    <w:rsid w:val="00A143DB"/>
    <w:rsid w:val="00A14635"/>
    <w:rsid w:val="00A14D98"/>
    <w:rsid w:val="00A15D65"/>
    <w:rsid w:val="00A17AA1"/>
    <w:rsid w:val="00A20B12"/>
    <w:rsid w:val="00A214BB"/>
    <w:rsid w:val="00A2180F"/>
    <w:rsid w:val="00A21F31"/>
    <w:rsid w:val="00A25326"/>
    <w:rsid w:val="00A25A1A"/>
    <w:rsid w:val="00A25AC8"/>
    <w:rsid w:val="00A2798F"/>
    <w:rsid w:val="00A27AD4"/>
    <w:rsid w:val="00A30940"/>
    <w:rsid w:val="00A319A7"/>
    <w:rsid w:val="00A34653"/>
    <w:rsid w:val="00A349E3"/>
    <w:rsid w:val="00A3500F"/>
    <w:rsid w:val="00A41061"/>
    <w:rsid w:val="00A41D8C"/>
    <w:rsid w:val="00A43A24"/>
    <w:rsid w:val="00A44C3F"/>
    <w:rsid w:val="00A44D40"/>
    <w:rsid w:val="00A4595F"/>
    <w:rsid w:val="00A45B9A"/>
    <w:rsid w:val="00A466C2"/>
    <w:rsid w:val="00A468D1"/>
    <w:rsid w:val="00A47644"/>
    <w:rsid w:val="00A50207"/>
    <w:rsid w:val="00A510DC"/>
    <w:rsid w:val="00A51437"/>
    <w:rsid w:val="00A548D0"/>
    <w:rsid w:val="00A55443"/>
    <w:rsid w:val="00A55542"/>
    <w:rsid w:val="00A57F38"/>
    <w:rsid w:val="00A6060D"/>
    <w:rsid w:val="00A60880"/>
    <w:rsid w:val="00A61B98"/>
    <w:rsid w:val="00A621FB"/>
    <w:rsid w:val="00A62CB4"/>
    <w:rsid w:val="00A641EB"/>
    <w:rsid w:val="00A64DFE"/>
    <w:rsid w:val="00A65864"/>
    <w:rsid w:val="00A65AB5"/>
    <w:rsid w:val="00A65CC4"/>
    <w:rsid w:val="00A66413"/>
    <w:rsid w:val="00A6703A"/>
    <w:rsid w:val="00A67700"/>
    <w:rsid w:val="00A67AD2"/>
    <w:rsid w:val="00A708DE"/>
    <w:rsid w:val="00A745A2"/>
    <w:rsid w:val="00A7476D"/>
    <w:rsid w:val="00A75011"/>
    <w:rsid w:val="00A77888"/>
    <w:rsid w:val="00A8003C"/>
    <w:rsid w:val="00A810AB"/>
    <w:rsid w:val="00A816A2"/>
    <w:rsid w:val="00A82648"/>
    <w:rsid w:val="00A84AF0"/>
    <w:rsid w:val="00A85D9E"/>
    <w:rsid w:val="00A869AE"/>
    <w:rsid w:val="00A9066D"/>
    <w:rsid w:val="00A906B6"/>
    <w:rsid w:val="00A9100D"/>
    <w:rsid w:val="00A91755"/>
    <w:rsid w:val="00A968CD"/>
    <w:rsid w:val="00AA1815"/>
    <w:rsid w:val="00AA2A00"/>
    <w:rsid w:val="00AA5425"/>
    <w:rsid w:val="00AA5E46"/>
    <w:rsid w:val="00AA7899"/>
    <w:rsid w:val="00AB3978"/>
    <w:rsid w:val="00AB7A31"/>
    <w:rsid w:val="00AC0788"/>
    <w:rsid w:val="00AC1918"/>
    <w:rsid w:val="00AC1B7A"/>
    <w:rsid w:val="00AC2D11"/>
    <w:rsid w:val="00AC3023"/>
    <w:rsid w:val="00AC3F9A"/>
    <w:rsid w:val="00AC5101"/>
    <w:rsid w:val="00AC5DF4"/>
    <w:rsid w:val="00AC6B53"/>
    <w:rsid w:val="00AC6C9C"/>
    <w:rsid w:val="00AC74F3"/>
    <w:rsid w:val="00AD0100"/>
    <w:rsid w:val="00AD0A09"/>
    <w:rsid w:val="00AD0BAF"/>
    <w:rsid w:val="00AD1AA5"/>
    <w:rsid w:val="00AD25B5"/>
    <w:rsid w:val="00AD28AA"/>
    <w:rsid w:val="00AD2BA3"/>
    <w:rsid w:val="00AD2C62"/>
    <w:rsid w:val="00AD3781"/>
    <w:rsid w:val="00AD3B74"/>
    <w:rsid w:val="00AD6200"/>
    <w:rsid w:val="00AD6353"/>
    <w:rsid w:val="00AD7BD1"/>
    <w:rsid w:val="00AE0BA5"/>
    <w:rsid w:val="00AE0D42"/>
    <w:rsid w:val="00AE1349"/>
    <w:rsid w:val="00AE1ED8"/>
    <w:rsid w:val="00AE2096"/>
    <w:rsid w:val="00AE4E77"/>
    <w:rsid w:val="00AE6796"/>
    <w:rsid w:val="00AE6FE1"/>
    <w:rsid w:val="00AE7BEC"/>
    <w:rsid w:val="00AF0122"/>
    <w:rsid w:val="00AF0882"/>
    <w:rsid w:val="00AF08B0"/>
    <w:rsid w:val="00AF4391"/>
    <w:rsid w:val="00AF455B"/>
    <w:rsid w:val="00AF4D36"/>
    <w:rsid w:val="00AF5FF8"/>
    <w:rsid w:val="00AF7AFC"/>
    <w:rsid w:val="00AF7C9E"/>
    <w:rsid w:val="00B003A7"/>
    <w:rsid w:val="00B00CCC"/>
    <w:rsid w:val="00B02052"/>
    <w:rsid w:val="00B02D0F"/>
    <w:rsid w:val="00B02E13"/>
    <w:rsid w:val="00B03827"/>
    <w:rsid w:val="00B048F9"/>
    <w:rsid w:val="00B06250"/>
    <w:rsid w:val="00B0669B"/>
    <w:rsid w:val="00B067F3"/>
    <w:rsid w:val="00B06C17"/>
    <w:rsid w:val="00B1137A"/>
    <w:rsid w:val="00B13886"/>
    <w:rsid w:val="00B1484B"/>
    <w:rsid w:val="00B14FFF"/>
    <w:rsid w:val="00B172D2"/>
    <w:rsid w:val="00B23AFC"/>
    <w:rsid w:val="00B25E82"/>
    <w:rsid w:val="00B312C3"/>
    <w:rsid w:val="00B326D3"/>
    <w:rsid w:val="00B348C0"/>
    <w:rsid w:val="00B3724A"/>
    <w:rsid w:val="00B376DF"/>
    <w:rsid w:val="00B37EC7"/>
    <w:rsid w:val="00B428CE"/>
    <w:rsid w:val="00B44AE7"/>
    <w:rsid w:val="00B44C42"/>
    <w:rsid w:val="00B46EC1"/>
    <w:rsid w:val="00B51F7B"/>
    <w:rsid w:val="00B53D36"/>
    <w:rsid w:val="00B54C21"/>
    <w:rsid w:val="00B5551F"/>
    <w:rsid w:val="00B555F5"/>
    <w:rsid w:val="00B574E4"/>
    <w:rsid w:val="00B605B3"/>
    <w:rsid w:val="00B60B67"/>
    <w:rsid w:val="00B61F54"/>
    <w:rsid w:val="00B62D51"/>
    <w:rsid w:val="00B6548A"/>
    <w:rsid w:val="00B65E45"/>
    <w:rsid w:val="00B664D4"/>
    <w:rsid w:val="00B66A8B"/>
    <w:rsid w:val="00B67049"/>
    <w:rsid w:val="00B674FD"/>
    <w:rsid w:val="00B7052D"/>
    <w:rsid w:val="00B707DF"/>
    <w:rsid w:val="00B73A8E"/>
    <w:rsid w:val="00B74218"/>
    <w:rsid w:val="00B74427"/>
    <w:rsid w:val="00B74727"/>
    <w:rsid w:val="00B75020"/>
    <w:rsid w:val="00B75ED3"/>
    <w:rsid w:val="00B7637E"/>
    <w:rsid w:val="00B76AE6"/>
    <w:rsid w:val="00B76B62"/>
    <w:rsid w:val="00B76F27"/>
    <w:rsid w:val="00B77C11"/>
    <w:rsid w:val="00B81535"/>
    <w:rsid w:val="00B81B4C"/>
    <w:rsid w:val="00B82655"/>
    <w:rsid w:val="00B829A4"/>
    <w:rsid w:val="00B85165"/>
    <w:rsid w:val="00B85520"/>
    <w:rsid w:val="00B85DEF"/>
    <w:rsid w:val="00B87C65"/>
    <w:rsid w:val="00B87DDD"/>
    <w:rsid w:val="00B91B5D"/>
    <w:rsid w:val="00B9273D"/>
    <w:rsid w:val="00B92F5B"/>
    <w:rsid w:val="00B9304F"/>
    <w:rsid w:val="00B9353F"/>
    <w:rsid w:val="00B94144"/>
    <w:rsid w:val="00B954FD"/>
    <w:rsid w:val="00BA2BF5"/>
    <w:rsid w:val="00BA3DFB"/>
    <w:rsid w:val="00BA49E5"/>
    <w:rsid w:val="00BA4F97"/>
    <w:rsid w:val="00BA7282"/>
    <w:rsid w:val="00BA75EA"/>
    <w:rsid w:val="00BA7AC1"/>
    <w:rsid w:val="00BA7D7C"/>
    <w:rsid w:val="00BA7EF0"/>
    <w:rsid w:val="00BA7FFB"/>
    <w:rsid w:val="00BB0FB1"/>
    <w:rsid w:val="00BB146B"/>
    <w:rsid w:val="00BB31E4"/>
    <w:rsid w:val="00BB34D3"/>
    <w:rsid w:val="00BB47CD"/>
    <w:rsid w:val="00BB581D"/>
    <w:rsid w:val="00BB708B"/>
    <w:rsid w:val="00BC0BA7"/>
    <w:rsid w:val="00BC102B"/>
    <w:rsid w:val="00BC1194"/>
    <w:rsid w:val="00BC1414"/>
    <w:rsid w:val="00BC2745"/>
    <w:rsid w:val="00BC28F3"/>
    <w:rsid w:val="00BC2E79"/>
    <w:rsid w:val="00BC351C"/>
    <w:rsid w:val="00BC476C"/>
    <w:rsid w:val="00BC477B"/>
    <w:rsid w:val="00BC48C0"/>
    <w:rsid w:val="00BD0160"/>
    <w:rsid w:val="00BD018A"/>
    <w:rsid w:val="00BD070C"/>
    <w:rsid w:val="00BD1024"/>
    <w:rsid w:val="00BD1C03"/>
    <w:rsid w:val="00BD280E"/>
    <w:rsid w:val="00BD3086"/>
    <w:rsid w:val="00BD3A75"/>
    <w:rsid w:val="00BD3F83"/>
    <w:rsid w:val="00BD413E"/>
    <w:rsid w:val="00BD4798"/>
    <w:rsid w:val="00BD5A16"/>
    <w:rsid w:val="00BD73D4"/>
    <w:rsid w:val="00BE1274"/>
    <w:rsid w:val="00BE1C90"/>
    <w:rsid w:val="00BE38D9"/>
    <w:rsid w:val="00BE4AA7"/>
    <w:rsid w:val="00BE5873"/>
    <w:rsid w:val="00BE645A"/>
    <w:rsid w:val="00BE6FCC"/>
    <w:rsid w:val="00BE76D8"/>
    <w:rsid w:val="00BF20A1"/>
    <w:rsid w:val="00BF234D"/>
    <w:rsid w:val="00BF3D25"/>
    <w:rsid w:val="00BF3D65"/>
    <w:rsid w:val="00BF5427"/>
    <w:rsid w:val="00BF5D12"/>
    <w:rsid w:val="00BF60B0"/>
    <w:rsid w:val="00BF640F"/>
    <w:rsid w:val="00BF66D8"/>
    <w:rsid w:val="00C00ACA"/>
    <w:rsid w:val="00C00ACB"/>
    <w:rsid w:val="00C016AC"/>
    <w:rsid w:val="00C016EF"/>
    <w:rsid w:val="00C02EBD"/>
    <w:rsid w:val="00C0313B"/>
    <w:rsid w:val="00C03356"/>
    <w:rsid w:val="00C044BA"/>
    <w:rsid w:val="00C04D1F"/>
    <w:rsid w:val="00C04E3A"/>
    <w:rsid w:val="00C051F6"/>
    <w:rsid w:val="00C102EB"/>
    <w:rsid w:val="00C10D7E"/>
    <w:rsid w:val="00C13023"/>
    <w:rsid w:val="00C13B09"/>
    <w:rsid w:val="00C15E0F"/>
    <w:rsid w:val="00C160F8"/>
    <w:rsid w:val="00C1736D"/>
    <w:rsid w:val="00C173FA"/>
    <w:rsid w:val="00C2281F"/>
    <w:rsid w:val="00C2484E"/>
    <w:rsid w:val="00C24B7C"/>
    <w:rsid w:val="00C26F2A"/>
    <w:rsid w:val="00C27445"/>
    <w:rsid w:val="00C27E74"/>
    <w:rsid w:val="00C3136E"/>
    <w:rsid w:val="00C31CDA"/>
    <w:rsid w:val="00C31E07"/>
    <w:rsid w:val="00C321E4"/>
    <w:rsid w:val="00C333F3"/>
    <w:rsid w:val="00C348D5"/>
    <w:rsid w:val="00C3598C"/>
    <w:rsid w:val="00C36D94"/>
    <w:rsid w:val="00C37594"/>
    <w:rsid w:val="00C37635"/>
    <w:rsid w:val="00C37F44"/>
    <w:rsid w:val="00C4206E"/>
    <w:rsid w:val="00C423DC"/>
    <w:rsid w:val="00C459E5"/>
    <w:rsid w:val="00C50EA3"/>
    <w:rsid w:val="00C5160F"/>
    <w:rsid w:val="00C53162"/>
    <w:rsid w:val="00C533D1"/>
    <w:rsid w:val="00C53E57"/>
    <w:rsid w:val="00C552A8"/>
    <w:rsid w:val="00C552B2"/>
    <w:rsid w:val="00C61652"/>
    <w:rsid w:val="00C62A87"/>
    <w:rsid w:val="00C63334"/>
    <w:rsid w:val="00C638D1"/>
    <w:rsid w:val="00C64028"/>
    <w:rsid w:val="00C658BC"/>
    <w:rsid w:val="00C66FE3"/>
    <w:rsid w:val="00C700C8"/>
    <w:rsid w:val="00C70494"/>
    <w:rsid w:val="00C709F5"/>
    <w:rsid w:val="00C715A4"/>
    <w:rsid w:val="00C73B33"/>
    <w:rsid w:val="00C73D62"/>
    <w:rsid w:val="00C74E5A"/>
    <w:rsid w:val="00C75F2B"/>
    <w:rsid w:val="00C76733"/>
    <w:rsid w:val="00C76B9D"/>
    <w:rsid w:val="00C817BD"/>
    <w:rsid w:val="00C82E9E"/>
    <w:rsid w:val="00C84011"/>
    <w:rsid w:val="00C86377"/>
    <w:rsid w:val="00C9019D"/>
    <w:rsid w:val="00C90E32"/>
    <w:rsid w:val="00C90EDD"/>
    <w:rsid w:val="00C92900"/>
    <w:rsid w:val="00C930D3"/>
    <w:rsid w:val="00C930FB"/>
    <w:rsid w:val="00C95299"/>
    <w:rsid w:val="00C95316"/>
    <w:rsid w:val="00CA04A1"/>
    <w:rsid w:val="00CA0CE0"/>
    <w:rsid w:val="00CA350D"/>
    <w:rsid w:val="00CA59BB"/>
    <w:rsid w:val="00CA5EF1"/>
    <w:rsid w:val="00CA64BE"/>
    <w:rsid w:val="00CA6F88"/>
    <w:rsid w:val="00CB269A"/>
    <w:rsid w:val="00CB3703"/>
    <w:rsid w:val="00CB379B"/>
    <w:rsid w:val="00CB4E51"/>
    <w:rsid w:val="00CB54C3"/>
    <w:rsid w:val="00CB5AE7"/>
    <w:rsid w:val="00CB7398"/>
    <w:rsid w:val="00CB7854"/>
    <w:rsid w:val="00CC11C5"/>
    <w:rsid w:val="00CC12F8"/>
    <w:rsid w:val="00CC1F1B"/>
    <w:rsid w:val="00CC3320"/>
    <w:rsid w:val="00CC5A38"/>
    <w:rsid w:val="00CC7E6B"/>
    <w:rsid w:val="00CD07B9"/>
    <w:rsid w:val="00CD1AEA"/>
    <w:rsid w:val="00CD2275"/>
    <w:rsid w:val="00CD3797"/>
    <w:rsid w:val="00CD4E4A"/>
    <w:rsid w:val="00CD5209"/>
    <w:rsid w:val="00CE0EBE"/>
    <w:rsid w:val="00CE1148"/>
    <w:rsid w:val="00CE1637"/>
    <w:rsid w:val="00CE2384"/>
    <w:rsid w:val="00CE3149"/>
    <w:rsid w:val="00CE3A6A"/>
    <w:rsid w:val="00CE3C30"/>
    <w:rsid w:val="00CE5759"/>
    <w:rsid w:val="00CE5ED3"/>
    <w:rsid w:val="00CE67D8"/>
    <w:rsid w:val="00CE7DF6"/>
    <w:rsid w:val="00CF0035"/>
    <w:rsid w:val="00CF0846"/>
    <w:rsid w:val="00CF162A"/>
    <w:rsid w:val="00CF1829"/>
    <w:rsid w:val="00CF1A3E"/>
    <w:rsid w:val="00CF3338"/>
    <w:rsid w:val="00CF4789"/>
    <w:rsid w:val="00CF53E4"/>
    <w:rsid w:val="00CF5D59"/>
    <w:rsid w:val="00CF5F3B"/>
    <w:rsid w:val="00D0060F"/>
    <w:rsid w:val="00D00FE0"/>
    <w:rsid w:val="00D01742"/>
    <w:rsid w:val="00D02F56"/>
    <w:rsid w:val="00D03584"/>
    <w:rsid w:val="00D03D2E"/>
    <w:rsid w:val="00D03E1D"/>
    <w:rsid w:val="00D04143"/>
    <w:rsid w:val="00D041CA"/>
    <w:rsid w:val="00D06FEC"/>
    <w:rsid w:val="00D1465B"/>
    <w:rsid w:val="00D15B29"/>
    <w:rsid w:val="00D15BAE"/>
    <w:rsid w:val="00D1779B"/>
    <w:rsid w:val="00D20920"/>
    <w:rsid w:val="00D24FEF"/>
    <w:rsid w:val="00D25091"/>
    <w:rsid w:val="00D255FB"/>
    <w:rsid w:val="00D25856"/>
    <w:rsid w:val="00D2615A"/>
    <w:rsid w:val="00D27031"/>
    <w:rsid w:val="00D27494"/>
    <w:rsid w:val="00D279C9"/>
    <w:rsid w:val="00D3021B"/>
    <w:rsid w:val="00D3024D"/>
    <w:rsid w:val="00D3039B"/>
    <w:rsid w:val="00D31681"/>
    <w:rsid w:val="00D32F16"/>
    <w:rsid w:val="00D333A1"/>
    <w:rsid w:val="00D33463"/>
    <w:rsid w:val="00D357CD"/>
    <w:rsid w:val="00D36BCB"/>
    <w:rsid w:val="00D3739A"/>
    <w:rsid w:val="00D41CDC"/>
    <w:rsid w:val="00D41E7A"/>
    <w:rsid w:val="00D4262F"/>
    <w:rsid w:val="00D42D5A"/>
    <w:rsid w:val="00D440AD"/>
    <w:rsid w:val="00D4558B"/>
    <w:rsid w:val="00D45CAE"/>
    <w:rsid w:val="00D4632D"/>
    <w:rsid w:val="00D46938"/>
    <w:rsid w:val="00D4779B"/>
    <w:rsid w:val="00D478D9"/>
    <w:rsid w:val="00D50935"/>
    <w:rsid w:val="00D50A2A"/>
    <w:rsid w:val="00D54F49"/>
    <w:rsid w:val="00D57104"/>
    <w:rsid w:val="00D60FDF"/>
    <w:rsid w:val="00D61878"/>
    <w:rsid w:val="00D6223B"/>
    <w:rsid w:val="00D63755"/>
    <w:rsid w:val="00D64F02"/>
    <w:rsid w:val="00D66EC4"/>
    <w:rsid w:val="00D677D8"/>
    <w:rsid w:val="00D70D21"/>
    <w:rsid w:val="00D727CF"/>
    <w:rsid w:val="00D74408"/>
    <w:rsid w:val="00D7664A"/>
    <w:rsid w:val="00D7712D"/>
    <w:rsid w:val="00D80152"/>
    <w:rsid w:val="00D80C81"/>
    <w:rsid w:val="00D82598"/>
    <w:rsid w:val="00D8298D"/>
    <w:rsid w:val="00D8314D"/>
    <w:rsid w:val="00D839CB"/>
    <w:rsid w:val="00D87A1A"/>
    <w:rsid w:val="00D9042C"/>
    <w:rsid w:val="00D90CF6"/>
    <w:rsid w:val="00D9172F"/>
    <w:rsid w:val="00D91945"/>
    <w:rsid w:val="00D92014"/>
    <w:rsid w:val="00D92D69"/>
    <w:rsid w:val="00D95616"/>
    <w:rsid w:val="00D9643D"/>
    <w:rsid w:val="00D9710C"/>
    <w:rsid w:val="00D9743A"/>
    <w:rsid w:val="00D97A05"/>
    <w:rsid w:val="00DA1144"/>
    <w:rsid w:val="00DA317C"/>
    <w:rsid w:val="00DA3668"/>
    <w:rsid w:val="00DA4BE4"/>
    <w:rsid w:val="00DA6D37"/>
    <w:rsid w:val="00DB0AD2"/>
    <w:rsid w:val="00DB1825"/>
    <w:rsid w:val="00DB22D3"/>
    <w:rsid w:val="00DB2FB7"/>
    <w:rsid w:val="00DB3034"/>
    <w:rsid w:val="00DB3C54"/>
    <w:rsid w:val="00DB6072"/>
    <w:rsid w:val="00DB6327"/>
    <w:rsid w:val="00DB6386"/>
    <w:rsid w:val="00DC0B92"/>
    <w:rsid w:val="00DC2D12"/>
    <w:rsid w:val="00DC3219"/>
    <w:rsid w:val="00DC40DC"/>
    <w:rsid w:val="00DC594F"/>
    <w:rsid w:val="00DC71FA"/>
    <w:rsid w:val="00DD0983"/>
    <w:rsid w:val="00DD1579"/>
    <w:rsid w:val="00DD1D07"/>
    <w:rsid w:val="00DD2B09"/>
    <w:rsid w:val="00DD5732"/>
    <w:rsid w:val="00DD5A98"/>
    <w:rsid w:val="00DD7F69"/>
    <w:rsid w:val="00DE157D"/>
    <w:rsid w:val="00DE25DC"/>
    <w:rsid w:val="00DE616F"/>
    <w:rsid w:val="00DE61C4"/>
    <w:rsid w:val="00DE70A5"/>
    <w:rsid w:val="00DE7659"/>
    <w:rsid w:val="00DF0EFB"/>
    <w:rsid w:val="00DF25E7"/>
    <w:rsid w:val="00DF4095"/>
    <w:rsid w:val="00DF491F"/>
    <w:rsid w:val="00DF552E"/>
    <w:rsid w:val="00DF5727"/>
    <w:rsid w:val="00DF5C50"/>
    <w:rsid w:val="00E002F9"/>
    <w:rsid w:val="00E0042D"/>
    <w:rsid w:val="00E00791"/>
    <w:rsid w:val="00E01024"/>
    <w:rsid w:val="00E021D0"/>
    <w:rsid w:val="00E02C4E"/>
    <w:rsid w:val="00E0314D"/>
    <w:rsid w:val="00E0336E"/>
    <w:rsid w:val="00E036AB"/>
    <w:rsid w:val="00E100D4"/>
    <w:rsid w:val="00E11FB5"/>
    <w:rsid w:val="00E12545"/>
    <w:rsid w:val="00E14390"/>
    <w:rsid w:val="00E143A2"/>
    <w:rsid w:val="00E15098"/>
    <w:rsid w:val="00E15859"/>
    <w:rsid w:val="00E15963"/>
    <w:rsid w:val="00E15F31"/>
    <w:rsid w:val="00E1623F"/>
    <w:rsid w:val="00E16702"/>
    <w:rsid w:val="00E22B0E"/>
    <w:rsid w:val="00E231A9"/>
    <w:rsid w:val="00E231F3"/>
    <w:rsid w:val="00E23763"/>
    <w:rsid w:val="00E238E0"/>
    <w:rsid w:val="00E239D0"/>
    <w:rsid w:val="00E247F1"/>
    <w:rsid w:val="00E25818"/>
    <w:rsid w:val="00E26946"/>
    <w:rsid w:val="00E26A04"/>
    <w:rsid w:val="00E30603"/>
    <w:rsid w:val="00E31F37"/>
    <w:rsid w:val="00E33C5C"/>
    <w:rsid w:val="00E35117"/>
    <w:rsid w:val="00E353AE"/>
    <w:rsid w:val="00E354AA"/>
    <w:rsid w:val="00E41618"/>
    <w:rsid w:val="00E4182F"/>
    <w:rsid w:val="00E420BE"/>
    <w:rsid w:val="00E425EF"/>
    <w:rsid w:val="00E42F9A"/>
    <w:rsid w:val="00E442B3"/>
    <w:rsid w:val="00E444B7"/>
    <w:rsid w:val="00E45586"/>
    <w:rsid w:val="00E45F22"/>
    <w:rsid w:val="00E472E4"/>
    <w:rsid w:val="00E479BA"/>
    <w:rsid w:val="00E50739"/>
    <w:rsid w:val="00E5095D"/>
    <w:rsid w:val="00E51638"/>
    <w:rsid w:val="00E51F1C"/>
    <w:rsid w:val="00E53635"/>
    <w:rsid w:val="00E53AA0"/>
    <w:rsid w:val="00E53CD4"/>
    <w:rsid w:val="00E55808"/>
    <w:rsid w:val="00E55F49"/>
    <w:rsid w:val="00E568DC"/>
    <w:rsid w:val="00E56A88"/>
    <w:rsid w:val="00E57629"/>
    <w:rsid w:val="00E617A2"/>
    <w:rsid w:val="00E61C6A"/>
    <w:rsid w:val="00E628EA"/>
    <w:rsid w:val="00E64E08"/>
    <w:rsid w:val="00E6508F"/>
    <w:rsid w:val="00E65524"/>
    <w:rsid w:val="00E65AB4"/>
    <w:rsid w:val="00E65BB3"/>
    <w:rsid w:val="00E70D1A"/>
    <w:rsid w:val="00E70EA5"/>
    <w:rsid w:val="00E712F2"/>
    <w:rsid w:val="00E733C5"/>
    <w:rsid w:val="00E74A09"/>
    <w:rsid w:val="00E757F0"/>
    <w:rsid w:val="00E76281"/>
    <w:rsid w:val="00E76BC5"/>
    <w:rsid w:val="00E77341"/>
    <w:rsid w:val="00E77666"/>
    <w:rsid w:val="00E77F0D"/>
    <w:rsid w:val="00E819FC"/>
    <w:rsid w:val="00E82000"/>
    <w:rsid w:val="00E84541"/>
    <w:rsid w:val="00E86456"/>
    <w:rsid w:val="00E869B7"/>
    <w:rsid w:val="00E86B90"/>
    <w:rsid w:val="00E87292"/>
    <w:rsid w:val="00E87CFD"/>
    <w:rsid w:val="00E914AF"/>
    <w:rsid w:val="00E917DD"/>
    <w:rsid w:val="00E93245"/>
    <w:rsid w:val="00E93362"/>
    <w:rsid w:val="00E95723"/>
    <w:rsid w:val="00E976C1"/>
    <w:rsid w:val="00E979E8"/>
    <w:rsid w:val="00E97B7A"/>
    <w:rsid w:val="00EA1701"/>
    <w:rsid w:val="00EA3189"/>
    <w:rsid w:val="00EA36B5"/>
    <w:rsid w:val="00EA3B0F"/>
    <w:rsid w:val="00EA6893"/>
    <w:rsid w:val="00EA6C78"/>
    <w:rsid w:val="00EB02C8"/>
    <w:rsid w:val="00EB044F"/>
    <w:rsid w:val="00EB08A7"/>
    <w:rsid w:val="00EB2799"/>
    <w:rsid w:val="00EB2DCA"/>
    <w:rsid w:val="00EB5BD5"/>
    <w:rsid w:val="00EB7EF3"/>
    <w:rsid w:val="00EC17EB"/>
    <w:rsid w:val="00EC1B38"/>
    <w:rsid w:val="00EC25DD"/>
    <w:rsid w:val="00EC3160"/>
    <w:rsid w:val="00EC37B0"/>
    <w:rsid w:val="00EC5B5C"/>
    <w:rsid w:val="00EC74C1"/>
    <w:rsid w:val="00ED0FD4"/>
    <w:rsid w:val="00ED1BB1"/>
    <w:rsid w:val="00ED2733"/>
    <w:rsid w:val="00ED38CD"/>
    <w:rsid w:val="00ED3AF6"/>
    <w:rsid w:val="00ED4412"/>
    <w:rsid w:val="00ED570D"/>
    <w:rsid w:val="00ED645B"/>
    <w:rsid w:val="00ED6502"/>
    <w:rsid w:val="00ED676F"/>
    <w:rsid w:val="00EE2157"/>
    <w:rsid w:val="00EE2D23"/>
    <w:rsid w:val="00EE3EC3"/>
    <w:rsid w:val="00EE460F"/>
    <w:rsid w:val="00EE4B52"/>
    <w:rsid w:val="00EE55CA"/>
    <w:rsid w:val="00EE6674"/>
    <w:rsid w:val="00EF1AD1"/>
    <w:rsid w:val="00EF1B85"/>
    <w:rsid w:val="00EF2A76"/>
    <w:rsid w:val="00EF413E"/>
    <w:rsid w:val="00EF4DBD"/>
    <w:rsid w:val="00EF6381"/>
    <w:rsid w:val="00EF7305"/>
    <w:rsid w:val="00F002B3"/>
    <w:rsid w:val="00F03FBF"/>
    <w:rsid w:val="00F041EF"/>
    <w:rsid w:val="00F04F43"/>
    <w:rsid w:val="00F1061F"/>
    <w:rsid w:val="00F1104C"/>
    <w:rsid w:val="00F12335"/>
    <w:rsid w:val="00F12B42"/>
    <w:rsid w:val="00F13524"/>
    <w:rsid w:val="00F138E0"/>
    <w:rsid w:val="00F139B0"/>
    <w:rsid w:val="00F14366"/>
    <w:rsid w:val="00F15564"/>
    <w:rsid w:val="00F16B40"/>
    <w:rsid w:val="00F179DF"/>
    <w:rsid w:val="00F21089"/>
    <w:rsid w:val="00F21992"/>
    <w:rsid w:val="00F21F3D"/>
    <w:rsid w:val="00F24ED5"/>
    <w:rsid w:val="00F269EC"/>
    <w:rsid w:val="00F26EAB"/>
    <w:rsid w:val="00F3135D"/>
    <w:rsid w:val="00F32F11"/>
    <w:rsid w:val="00F33DFD"/>
    <w:rsid w:val="00F3408F"/>
    <w:rsid w:val="00F340A8"/>
    <w:rsid w:val="00F34C27"/>
    <w:rsid w:val="00F356BA"/>
    <w:rsid w:val="00F358E8"/>
    <w:rsid w:val="00F362CA"/>
    <w:rsid w:val="00F373E3"/>
    <w:rsid w:val="00F37BC8"/>
    <w:rsid w:val="00F37BF2"/>
    <w:rsid w:val="00F4101A"/>
    <w:rsid w:val="00F41141"/>
    <w:rsid w:val="00F41DA4"/>
    <w:rsid w:val="00F428CE"/>
    <w:rsid w:val="00F431CC"/>
    <w:rsid w:val="00F43C73"/>
    <w:rsid w:val="00F4582A"/>
    <w:rsid w:val="00F474DC"/>
    <w:rsid w:val="00F5007D"/>
    <w:rsid w:val="00F50333"/>
    <w:rsid w:val="00F53110"/>
    <w:rsid w:val="00F537D4"/>
    <w:rsid w:val="00F54EF3"/>
    <w:rsid w:val="00F54F70"/>
    <w:rsid w:val="00F56598"/>
    <w:rsid w:val="00F6007E"/>
    <w:rsid w:val="00F60478"/>
    <w:rsid w:val="00F61DE2"/>
    <w:rsid w:val="00F61EBB"/>
    <w:rsid w:val="00F61F3F"/>
    <w:rsid w:val="00F64391"/>
    <w:rsid w:val="00F65E17"/>
    <w:rsid w:val="00F71F2D"/>
    <w:rsid w:val="00F7432E"/>
    <w:rsid w:val="00F74904"/>
    <w:rsid w:val="00F766D4"/>
    <w:rsid w:val="00F77AD4"/>
    <w:rsid w:val="00F80AF9"/>
    <w:rsid w:val="00F83ECD"/>
    <w:rsid w:val="00F84B6C"/>
    <w:rsid w:val="00F84BA1"/>
    <w:rsid w:val="00F8500C"/>
    <w:rsid w:val="00F87A4F"/>
    <w:rsid w:val="00F9099D"/>
    <w:rsid w:val="00F93E45"/>
    <w:rsid w:val="00F945E0"/>
    <w:rsid w:val="00F97186"/>
    <w:rsid w:val="00FA209D"/>
    <w:rsid w:val="00FA586F"/>
    <w:rsid w:val="00FB0348"/>
    <w:rsid w:val="00FB03F4"/>
    <w:rsid w:val="00FB255A"/>
    <w:rsid w:val="00FB2EA9"/>
    <w:rsid w:val="00FB5278"/>
    <w:rsid w:val="00FB63CC"/>
    <w:rsid w:val="00FB68F6"/>
    <w:rsid w:val="00FC0747"/>
    <w:rsid w:val="00FC18C8"/>
    <w:rsid w:val="00FC2D29"/>
    <w:rsid w:val="00FC32EA"/>
    <w:rsid w:val="00FC3C9F"/>
    <w:rsid w:val="00FC4D03"/>
    <w:rsid w:val="00FC67AE"/>
    <w:rsid w:val="00FC6E7E"/>
    <w:rsid w:val="00FC6FC1"/>
    <w:rsid w:val="00FC7D9B"/>
    <w:rsid w:val="00FD0312"/>
    <w:rsid w:val="00FD1E8A"/>
    <w:rsid w:val="00FD2589"/>
    <w:rsid w:val="00FD3382"/>
    <w:rsid w:val="00FD5223"/>
    <w:rsid w:val="00FD53FE"/>
    <w:rsid w:val="00FD6454"/>
    <w:rsid w:val="00FE0C14"/>
    <w:rsid w:val="00FE0DAF"/>
    <w:rsid w:val="00FE534F"/>
    <w:rsid w:val="00FE661F"/>
    <w:rsid w:val="00FE69DE"/>
    <w:rsid w:val="00FE711F"/>
    <w:rsid w:val="00FE72E8"/>
    <w:rsid w:val="00FF05F2"/>
    <w:rsid w:val="00FF1F46"/>
    <w:rsid w:val="00FF3271"/>
    <w:rsid w:val="00FF3372"/>
    <w:rsid w:val="00FF43FC"/>
    <w:rsid w:val="00FF5183"/>
    <w:rsid w:val="00FF7C6E"/>
    <w:rsid w:val="00FF7F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2E13"/>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pPr>
    <w:rPr>
      <w:szCs w:val="20"/>
      <w:lang w:val="en-US" w:eastAsia="en-US"/>
    </w:rPr>
  </w:style>
  <w:style w:type="paragraph" w:styleId="Heading1">
    <w:name w:val="heading 1"/>
    <w:basedOn w:val="Normal"/>
    <w:next w:val="Normal"/>
    <w:link w:val="Heading1Char"/>
    <w:qFormat/>
    <w:rsid w:val="001E2525"/>
    <w:pPr>
      <w:keepNext/>
      <w:shd w:val="solid" w:color="FFFFFF" w:fill="FFFFFF"/>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outlineLvl w:val="0"/>
    </w:pPr>
    <w:rPr>
      <w:b/>
    </w:rPr>
  </w:style>
  <w:style w:type="paragraph" w:styleId="Heading2">
    <w:name w:val="heading 2"/>
    <w:basedOn w:val="Normal"/>
    <w:next w:val="Normal"/>
    <w:link w:val="Heading2Char"/>
    <w:qFormat/>
    <w:rsid w:val="001E2525"/>
    <w:pPr>
      <w:keepNext/>
      <w:tabs>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outlineLvl w:val="1"/>
    </w:pPr>
    <w:rPr>
      <w:b/>
    </w:rPr>
  </w:style>
  <w:style w:type="paragraph" w:styleId="Heading3">
    <w:name w:val="heading 3"/>
    <w:basedOn w:val="Normal"/>
    <w:next w:val="Normal"/>
    <w:link w:val="Heading3Char"/>
    <w:uiPriority w:val="99"/>
    <w:qFormat/>
    <w:rsid w:val="001E2525"/>
    <w:pPr>
      <w:keepNext/>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outlineLvl w:val="2"/>
    </w:pPr>
    <w:rPr>
      <w:b/>
      <w:sz w:val="20"/>
      <w:lang w:val="el-GR"/>
    </w:rPr>
  </w:style>
  <w:style w:type="paragraph" w:styleId="Heading4">
    <w:name w:val="heading 4"/>
    <w:basedOn w:val="Normal"/>
    <w:next w:val="Normal"/>
    <w:link w:val="Heading4Char"/>
    <w:uiPriority w:val="99"/>
    <w:qFormat/>
    <w:rsid w:val="001E2525"/>
    <w:pPr>
      <w:keepNext/>
      <w:spacing w:before="240" w:after="60"/>
      <w:outlineLvl w:val="3"/>
    </w:pPr>
    <w:rPr>
      <w:b/>
      <w:bCs/>
      <w:sz w:val="28"/>
      <w:szCs w:val="28"/>
    </w:rPr>
  </w:style>
  <w:style w:type="paragraph" w:styleId="Heading5">
    <w:name w:val="heading 5"/>
    <w:basedOn w:val="Normal"/>
    <w:next w:val="Normal"/>
    <w:link w:val="Heading5Char"/>
    <w:uiPriority w:val="99"/>
    <w:qFormat/>
    <w:rsid w:val="001E2525"/>
    <w:pPr>
      <w:keepNext/>
      <w:outlineLvl w:val="4"/>
    </w:pPr>
    <w:rPr>
      <w:u w:val="single"/>
    </w:rPr>
  </w:style>
  <w:style w:type="paragraph" w:styleId="Heading6">
    <w:name w:val="heading 6"/>
    <w:basedOn w:val="Normal"/>
    <w:next w:val="Normal"/>
    <w:link w:val="Heading6Char"/>
    <w:uiPriority w:val="99"/>
    <w:qFormat/>
    <w:rsid w:val="001E2525"/>
    <w:pPr>
      <w:keepNext/>
      <w:jc w:val="both"/>
      <w:outlineLvl w:val="5"/>
    </w:pPr>
  </w:style>
  <w:style w:type="paragraph" w:styleId="Heading7">
    <w:name w:val="heading 7"/>
    <w:basedOn w:val="Normal"/>
    <w:next w:val="Normal"/>
    <w:link w:val="Heading7Char"/>
    <w:uiPriority w:val="99"/>
    <w:qFormat/>
    <w:rsid w:val="001E2525"/>
    <w:pPr>
      <w:keepNext/>
      <w:spacing w:line="240" w:lineRule="auto"/>
      <w:jc w:val="center"/>
      <w:outlineLvl w:val="6"/>
    </w:pPr>
    <w:rPr>
      <w:b/>
      <w:sz w:val="20"/>
      <w:lang w:val="el-GR"/>
    </w:rPr>
  </w:style>
  <w:style w:type="paragraph" w:styleId="Heading8">
    <w:name w:val="heading 8"/>
    <w:basedOn w:val="Normal"/>
    <w:next w:val="Normal"/>
    <w:link w:val="Heading8Char"/>
    <w:uiPriority w:val="99"/>
    <w:qFormat/>
    <w:rsid w:val="001E2525"/>
    <w:pPr>
      <w:keepNext/>
      <w:ind w:left="454"/>
      <w:jc w:val="both"/>
      <w:outlineLvl w:val="7"/>
    </w:pPr>
  </w:style>
  <w:style w:type="paragraph" w:styleId="Heading9">
    <w:name w:val="heading 9"/>
    <w:basedOn w:val="Normal"/>
    <w:next w:val="Normal"/>
    <w:link w:val="Heading9Char"/>
    <w:uiPriority w:val="99"/>
    <w:qFormat/>
    <w:rsid w:val="001E2525"/>
    <w:pPr>
      <w:keepNext/>
      <w:jc w:val="both"/>
      <w:outlineLvl w:val="8"/>
    </w:pPr>
    <w:rPr>
      <w:b/>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415781"/>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semiHidden/>
    <w:locked/>
    <w:rsid w:val="00415781"/>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415781"/>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sid w:val="00415781"/>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sid w:val="00415781"/>
    <w:rPr>
      <w:rFonts w:ascii="Calibri" w:hAnsi="Calibri" w:cs="Times New Roman"/>
      <w:b/>
      <w:bCs/>
      <w:i/>
      <w:iCs/>
      <w:sz w:val="26"/>
      <w:szCs w:val="26"/>
      <w:lang w:val="en-US" w:eastAsia="en-US"/>
    </w:rPr>
  </w:style>
  <w:style w:type="character" w:customStyle="1" w:styleId="Heading6Char">
    <w:name w:val="Heading 6 Char"/>
    <w:basedOn w:val="DefaultParagraphFont"/>
    <w:link w:val="Heading6"/>
    <w:uiPriority w:val="99"/>
    <w:semiHidden/>
    <w:locked/>
    <w:rsid w:val="00415781"/>
    <w:rPr>
      <w:rFonts w:ascii="Calibri" w:hAnsi="Calibri" w:cs="Times New Roman"/>
      <w:b/>
      <w:bCs/>
      <w:lang w:val="en-US" w:eastAsia="en-US"/>
    </w:rPr>
  </w:style>
  <w:style w:type="character" w:customStyle="1" w:styleId="Heading7Char">
    <w:name w:val="Heading 7 Char"/>
    <w:basedOn w:val="DefaultParagraphFont"/>
    <w:link w:val="Heading7"/>
    <w:uiPriority w:val="99"/>
    <w:semiHidden/>
    <w:locked/>
    <w:rsid w:val="00415781"/>
    <w:rPr>
      <w:rFonts w:ascii="Calibri" w:hAnsi="Calibri" w:cs="Times New Roman"/>
      <w:sz w:val="24"/>
      <w:szCs w:val="24"/>
      <w:lang w:val="en-US" w:eastAsia="en-US"/>
    </w:rPr>
  </w:style>
  <w:style w:type="character" w:customStyle="1" w:styleId="Heading8Char">
    <w:name w:val="Heading 8 Char"/>
    <w:basedOn w:val="DefaultParagraphFont"/>
    <w:link w:val="Heading8"/>
    <w:uiPriority w:val="99"/>
    <w:semiHidden/>
    <w:locked/>
    <w:rsid w:val="00415781"/>
    <w:rPr>
      <w:rFonts w:ascii="Calibri" w:hAnsi="Calibri" w:cs="Times New Roman"/>
      <w:i/>
      <w:iCs/>
      <w:sz w:val="24"/>
      <w:szCs w:val="24"/>
      <w:lang w:val="en-US" w:eastAsia="en-US"/>
    </w:rPr>
  </w:style>
  <w:style w:type="character" w:customStyle="1" w:styleId="Heading9Char">
    <w:name w:val="Heading 9 Char"/>
    <w:basedOn w:val="DefaultParagraphFont"/>
    <w:link w:val="Heading9"/>
    <w:uiPriority w:val="99"/>
    <w:semiHidden/>
    <w:locked/>
    <w:rsid w:val="00415781"/>
    <w:rPr>
      <w:rFonts w:ascii="Cambria" w:hAnsi="Cambria" w:cs="Times New Roman"/>
      <w:lang w:val="en-US" w:eastAsia="en-US"/>
    </w:rPr>
  </w:style>
  <w:style w:type="paragraph" w:styleId="Header">
    <w:name w:val="header"/>
    <w:basedOn w:val="Normal"/>
    <w:link w:val="HeaderChar"/>
    <w:uiPriority w:val="99"/>
    <w:rsid w:val="001E2525"/>
    <w:pPr>
      <w:tabs>
        <w:tab w:val="center" w:pos="4536"/>
        <w:tab w:val="right" w:pos="9072"/>
      </w:tabs>
    </w:pPr>
  </w:style>
  <w:style w:type="character" w:customStyle="1" w:styleId="HeaderChar">
    <w:name w:val="Header Char"/>
    <w:basedOn w:val="DefaultParagraphFont"/>
    <w:link w:val="Header"/>
    <w:uiPriority w:val="99"/>
    <w:locked/>
    <w:rsid w:val="00D60FDF"/>
    <w:rPr>
      <w:rFonts w:cs="Times New Roman"/>
      <w:sz w:val="22"/>
      <w:lang w:val="en-US" w:eastAsia="en-US"/>
    </w:rPr>
  </w:style>
  <w:style w:type="paragraph" w:styleId="Footer">
    <w:name w:val="footer"/>
    <w:basedOn w:val="Normal"/>
    <w:link w:val="FooterChar"/>
    <w:uiPriority w:val="99"/>
    <w:rsid w:val="001E2525"/>
    <w:pPr>
      <w:tabs>
        <w:tab w:val="center" w:pos="4536"/>
        <w:tab w:val="right" w:pos="9072"/>
      </w:tabs>
    </w:pPr>
  </w:style>
  <w:style w:type="character" w:customStyle="1" w:styleId="FooterChar">
    <w:name w:val="Footer Char"/>
    <w:basedOn w:val="DefaultParagraphFont"/>
    <w:link w:val="Footer"/>
    <w:uiPriority w:val="99"/>
    <w:semiHidden/>
    <w:locked/>
    <w:rsid w:val="00415781"/>
    <w:rPr>
      <w:rFonts w:cs="Times New Roman"/>
      <w:sz w:val="20"/>
      <w:szCs w:val="20"/>
      <w:lang w:val="en-US" w:eastAsia="en-US"/>
    </w:rPr>
  </w:style>
  <w:style w:type="paragraph" w:styleId="ListBullet">
    <w:name w:val="List Bullet"/>
    <w:basedOn w:val="Normal"/>
    <w:uiPriority w:val="99"/>
    <w:rsid w:val="001E2525"/>
    <w:pPr>
      <w:numPr>
        <w:numId w:val="3"/>
      </w:numPr>
      <w:tabs>
        <w:tab w:val="clear" w:pos="926"/>
        <w:tab w:val="left" w:pos="284"/>
        <w:tab w:val="left" w:pos="907"/>
      </w:tabs>
      <w:ind w:left="284" w:hanging="284"/>
    </w:pPr>
  </w:style>
  <w:style w:type="paragraph" w:styleId="ListBullet2">
    <w:name w:val="List Bullet 2"/>
    <w:basedOn w:val="Normal"/>
    <w:uiPriority w:val="99"/>
    <w:rsid w:val="001E2525"/>
    <w:pPr>
      <w:numPr>
        <w:numId w:val="4"/>
      </w:numPr>
      <w:tabs>
        <w:tab w:val="clear" w:pos="1209"/>
        <w:tab w:val="left" w:pos="567"/>
      </w:tabs>
      <w:ind w:left="851" w:hanging="284"/>
    </w:pPr>
  </w:style>
  <w:style w:type="paragraph" w:styleId="ListBullet3">
    <w:name w:val="List Bullet 3"/>
    <w:basedOn w:val="Normal"/>
    <w:uiPriority w:val="99"/>
    <w:rsid w:val="001E2525"/>
    <w:pPr>
      <w:numPr>
        <w:numId w:val="1"/>
      </w:numPr>
      <w:tabs>
        <w:tab w:val="clear" w:pos="360"/>
        <w:tab w:val="clear" w:pos="907"/>
        <w:tab w:val="left" w:pos="851"/>
      </w:tabs>
      <w:ind w:left="1135" w:hanging="284"/>
    </w:pPr>
  </w:style>
  <w:style w:type="paragraph" w:styleId="ListBullet4">
    <w:name w:val="List Bullet 4"/>
    <w:basedOn w:val="Normal"/>
    <w:uiPriority w:val="99"/>
    <w:rsid w:val="001E2525"/>
    <w:pPr>
      <w:numPr>
        <w:numId w:val="2"/>
      </w:numPr>
      <w:tabs>
        <w:tab w:val="clear" w:pos="643"/>
        <w:tab w:val="left" w:pos="1134"/>
      </w:tabs>
      <w:ind w:left="1418" w:hanging="284"/>
    </w:pPr>
  </w:style>
  <w:style w:type="paragraph" w:styleId="ListNumber">
    <w:name w:val="List Number"/>
    <w:basedOn w:val="Normal"/>
    <w:uiPriority w:val="99"/>
    <w:rsid w:val="001E2525"/>
    <w:pPr>
      <w:numPr>
        <w:numId w:val="5"/>
      </w:numPr>
      <w:tabs>
        <w:tab w:val="clear" w:pos="360"/>
        <w:tab w:val="left" w:pos="284"/>
      </w:tabs>
      <w:ind w:left="284" w:hanging="284"/>
    </w:pPr>
  </w:style>
  <w:style w:type="paragraph" w:styleId="ListNumber2">
    <w:name w:val="List Number 2"/>
    <w:basedOn w:val="Normal"/>
    <w:uiPriority w:val="99"/>
    <w:rsid w:val="001E2525"/>
    <w:pPr>
      <w:numPr>
        <w:numId w:val="6"/>
      </w:numPr>
      <w:tabs>
        <w:tab w:val="clear" w:pos="643"/>
        <w:tab w:val="left" w:pos="567"/>
      </w:tabs>
      <w:ind w:left="851" w:hanging="284"/>
    </w:pPr>
  </w:style>
  <w:style w:type="paragraph" w:styleId="ListNumber3">
    <w:name w:val="List Number 3"/>
    <w:basedOn w:val="Normal"/>
    <w:uiPriority w:val="99"/>
    <w:rsid w:val="001E2525"/>
    <w:pPr>
      <w:numPr>
        <w:numId w:val="7"/>
      </w:numPr>
      <w:tabs>
        <w:tab w:val="clear" w:pos="926"/>
        <w:tab w:val="left" w:pos="851"/>
      </w:tabs>
      <w:ind w:left="1135" w:hanging="284"/>
    </w:pPr>
  </w:style>
  <w:style w:type="paragraph" w:styleId="ListNumber5">
    <w:name w:val="List Number 5"/>
    <w:basedOn w:val="Normal"/>
    <w:uiPriority w:val="99"/>
    <w:rsid w:val="001E2525"/>
    <w:pPr>
      <w:numPr>
        <w:numId w:val="8"/>
      </w:numPr>
      <w:tabs>
        <w:tab w:val="clear" w:pos="1492"/>
        <w:tab w:val="left" w:pos="1418"/>
      </w:tabs>
      <w:ind w:left="1418" w:hanging="284"/>
    </w:pPr>
  </w:style>
  <w:style w:type="paragraph" w:styleId="ListNumber4">
    <w:name w:val="List Number 4"/>
    <w:basedOn w:val="Normal"/>
    <w:uiPriority w:val="99"/>
    <w:rsid w:val="001E2525"/>
    <w:pPr>
      <w:numPr>
        <w:numId w:val="9"/>
      </w:numPr>
      <w:tabs>
        <w:tab w:val="clear" w:pos="1209"/>
        <w:tab w:val="left" w:pos="1418"/>
      </w:tabs>
    </w:pPr>
  </w:style>
  <w:style w:type="paragraph" w:styleId="TOC2">
    <w:name w:val="toc 2"/>
    <w:basedOn w:val="Normal"/>
    <w:next w:val="Normal"/>
    <w:uiPriority w:val="99"/>
    <w:semiHidden/>
    <w:rsid w:val="001E2525"/>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before="120"/>
      <w:ind w:left="220"/>
    </w:pPr>
    <w:rPr>
      <w:b/>
      <w:bCs/>
      <w:szCs w:val="26"/>
    </w:rPr>
  </w:style>
  <w:style w:type="paragraph" w:styleId="ListBullet5">
    <w:name w:val="List Bullet 5"/>
    <w:basedOn w:val="Normal"/>
    <w:uiPriority w:val="99"/>
    <w:rsid w:val="001E2525"/>
    <w:pPr>
      <w:numPr>
        <w:numId w:val="10"/>
      </w:numPr>
      <w:tabs>
        <w:tab w:val="clear" w:pos="1492"/>
        <w:tab w:val="left" w:pos="1418"/>
      </w:tabs>
      <w:ind w:left="1702" w:hanging="284"/>
    </w:pPr>
  </w:style>
  <w:style w:type="paragraph" w:styleId="BodyText">
    <w:name w:val="Body Text"/>
    <w:basedOn w:val="Normal"/>
    <w:link w:val="BodyTextChar"/>
    <w:rsid w:val="001E2525"/>
    <w:pPr>
      <w:spacing w:after="120"/>
    </w:pPr>
  </w:style>
  <w:style w:type="character" w:customStyle="1" w:styleId="BodyTextChar">
    <w:name w:val="Body Text Char"/>
    <w:basedOn w:val="DefaultParagraphFont"/>
    <w:link w:val="BodyText"/>
    <w:semiHidden/>
    <w:locked/>
    <w:rsid w:val="00415781"/>
    <w:rPr>
      <w:rFonts w:cs="Times New Roman"/>
      <w:sz w:val="20"/>
      <w:szCs w:val="20"/>
      <w:lang w:val="en-US" w:eastAsia="en-US"/>
    </w:rPr>
  </w:style>
  <w:style w:type="paragraph" w:styleId="BodyTextIndent">
    <w:name w:val="Body Text Indent"/>
    <w:basedOn w:val="Normal"/>
    <w:link w:val="BodyTextIndentChar"/>
    <w:uiPriority w:val="99"/>
    <w:rsid w:val="001E2525"/>
    <w:pPr>
      <w:spacing w:after="120"/>
      <w:ind w:left="283"/>
    </w:pPr>
  </w:style>
  <w:style w:type="character" w:customStyle="1" w:styleId="BodyTextIndentChar">
    <w:name w:val="Body Text Indent Char"/>
    <w:basedOn w:val="DefaultParagraphFont"/>
    <w:link w:val="BodyTextIndent"/>
    <w:uiPriority w:val="99"/>
    <w:semiHidden/>
    <w:locked/>
    <w:rsid w:val="00415781"/>
    <w:rPr>
      <w:rFonts w:cs="Times New Roman"/>
      <w:sz w:val="20"/>
      <w:szCs w:val="20"/>
      <w:lang w:val="en-US" w:eastAsia="en-US"/>
    </w:rPr>
  </w:style>
  <w:style w:type="paragraph" w:customStyle="1" w:styleId="AA1stlevelbullet">
    <w:name w:val="AA 1st level bullet"/>
    <w:basedOn w:val="Normal"/>
    <w:next w:val="Heading1"/>
    <w:uiPriority w:val="99"/>
    <w:rsid w:val="001E2525"/>
    <w:pPr>
      <w:numPr>
        <w:numId w:val="21"/>
      </w:numPr>
      <w:tabs>
        <w:tab w:val="clear" w:pos="283"/>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ind w:left="227" w:hanging="227"/>
    </w:pPr>
    <w:rPr>
      <w:b/>
    </w:rPr>
  </w:style>
  <w:style w:type="paragraph" w:customStyle="1" w:styleId="AA2ndlevelbullet">
    <w:name w:val="AA 2nd level bullet"/>
    <w:basedOn w:val="AA1stlevelbullet"/>
    <w:uiPriority w:val="99"/>
    <w:rsid w:val="001E2525"/>
    <w:pPr>
      <w:numPr>
        <w:numId w:val="24"/>
      </w:numPr>
      <w:tabs>
        <w:tab w:val="clear" w:pos="227"/>
        <w:tab w:val="clear" w:pos="283"/>
        <w:tab w:val="left" w:pos="454"/>
        <w:tab w:val="num" w:pos="643"/>
        <w:tab w:val="left" w:pos="680"/>
        <w:tab w:val="left" w:pos="907"/>
        <w:tab w:val="num" w:pos="1209"/>
      </w:tabs>
      <w:ind w:left="454" w:hanging="360"/>
    </w:pPr>
  </w:style>
  <w:style w:type="paragraph" w:customStyle="1" w:styleId="AANumbering">
    <w:name w:val="AA Numbering"/>
    <w:basedOn w:val="Normal"/>
    <w:uiPriority w:val="99"/>
    <w:rsid w:val="001E2525"/>
    <w:pPr>
      <w:numPr>
        <w:numId w:val="22"/>
      </w:numPr>
      <w:tabs>
        <w:tab w:val="clear" w:pos="227"/>
        <w:tab w:val="clear" w:pos="283"/>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left" w:pos="284"/>
      </w:tabs>
      <w:ind w:left="0" w:firstLine="0"/>
    </w:pPr>
  </w:style>
  <w:style w:type="paragraph" w:styleId="TOC1">
    <w:name w:val="toc 1"/>
    <w:basedOn w:val="Normal"/>
    <w:next w:val="Normal"/>
    <w:uiPriority w:val="99"/>
    <w:semiHidden/>
    <w:rsid w:val="001E2525"/>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before="120"/>
    </w:pPr>
    <w:rPr>
      <w:b/>
      <w:bCs/>
      <w:i/>
      <w:iCs/>
      <w:szCs w:val="28"/>
    </w:rPr>
  </w:style>
  <w:style w:type="paragraph" w:styleId="BodyTextIndent2">
    <w:name w:val="Body Text Indent 2"/>
    <w:basedOn w:val="Normal"/>
    <w:link w:val="BodyTextIndent2Char"/>
    <w:uiPriority w:val="99"/>
    <w:rsid w:val="001E2525"/>
    <w:pPr>
      <w:ind w:left="227"/>
    </w:pPr>
  </w:style>
  <w:style w:type="character" w:customStyle="1" w:styleId="BodyTextIndent2Char">
    <w:name w:val="Body Text Indent 2 Char"/>
    <w:basedOn w:val="DefaultParagraphFont"/>
    <w:link w:val="BodyTextIndent2"/>
    <w:uiPriority w:val="99"/>
    <w:semiHidden/>
    <w:locked/>
    <w:rsid w:val="00415781"/>
    <w:rPr>
      <w:rFonts w:cs="Times New Roman"/>
      <w:sz w:val="20"/>
      <w:szCs w:val="20"/>
      <w:lang w:val="en-US" w:eastAsia="en-US"/>
    </w:rPr>
  </w:style>
  <w:style w:type="paragraph" w:customStyle="1" w:styleId="ParagraphNumbering">
    <w:name w:val="Paragraph Numbering"/>
    <w:basedOn w:val="Header"/>
    <w:uiPriority w:val="99"/>
    <w:rsid w:val="001E2525"/>
    <w:pPr>
      <w:numPr>
        <w:numId w:val="23"/>
      </w:numPr>
      <w:tabs>
        <w:tab w:val="clear" w:pos="227"/>
        <w:tab w:val="clear" w:pos="454"/>
        <w:tab w:val="clear" w:pos="705"/>
        <w:tab w:val="clear" w:pos="907"/>
        <w:tab w:val="clear" w:pos="1644"/>
        <w:tab w:val="clear" w:pos="1871"/>
        <w:tab w:val="clear" w:pos="2580"/>
        <w:tab w:val="clear" w:pos="2807"/>
        <w:tab w:val="clear" w:pos="3515"/>
        <w:tab w:val="clear" w:pos="3742"/>
        <w:tab w:val="clear" w:pos="4451"/>
        <w:tab w:val="clear" w:pos="4536"/>
        <w:tab w:val="clear" w:pos="4678"/>
        <w:tab w:val="clear" w:pos="5387"/>
        <w:tab w:val="clear" w:pos="5613"/>
        <w:tab w:val="clear" w:pos="6322"/>
        <w:tab w:val="clear" w:pos="6549"/>
        <w:tab w:val="clear" w:pos="9072"/>
        <w:tab w:val="left" w:pos="284"/>
      </w:tabs>
      <w:ind w:left="0" w:firstLine="0"/>
    </w:pPr>
  </w:style>
  <w:style w:type="paragraph" w:customStyle="1" w:styleId="AAheadingwocontents">
    <w:name w:val="AA heading wo contents"/>
    <w:basedOn w:val="Normal"/>
    <w:uiPriority w:val="99"/>
    <w:rsid w:val="001E2525"/>
    <w:pPr>
      <w:spacing w:line="280" w:lineRule="atLeast"/>
    </w:pPr>
    <w:rPr>
      <w:b/>
    </w:rPr>
  </w:style>
  <w:style w:type="paragraph" w:customStyle="1" w:styleId="StandaardOpinion">
    <w:name w:val="StandaardOpinion"/>
    <w:basedOn w:val="Normal"/>
    <w:uiPriority w:val="99"/>
    <w:rsid w:val="001E2525"/>
    <w:pPr>
      <w:spacing w:line="280" w:lineRule="atLeast"/>
    </w:pPr>
  </w:style>
  <w:style w:type="paragraph" w:styleId="BodyTextIndent3">
    <w:name w:val="Body Text Indent 3"/>
    <w:basedOn w:val="Normal"/>
    <w:link w:val="BodyTextIndent3Char"/>
    <w:uiPriority w:val="99"/>
    <w:rsid w:val="001E2525"/>
    <w:pPr>
      <w:ind w:left="227"/>
      <w:jc w:val="both"/>
    </w:pPr>
  </w:style>
  <w:style w:type="character" w:customStyle="1" w:styleId="BodyTextIndent3Char">
    <w:name w:val="Body Text Indent 3 Char"/>
    <w:basedOn w:val="DefaultParagraphFont"/>
    <w:link w:val="BodyTextIndent3"/>
    <w:uiPriority w:val="99"/>
    <w:semiHidden/>
    <w:locked/>
    <w:rsid w:val="00415781"/>
    <w:rPr>
      <w:rFonts w:cs="Times New Roman"/>
      <w:sz w:val="16"/>
      <w:szCs w:val="16"/>
      <w:lang w:val="en-US" w:eastAsia="en-US"/>
    </w:rPr>
  </w:style>
  <w:style w:type="paragraph" w:styleId="List">
    <w:name w:val="List"/>
    <w:basedOn w:val="Normal"/>
    <w:rsid w:val="001E2525"/>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60" w:hanging="360"/>
    </w:pPr>
    <w:rPr>
      <w:sz w:val="20"/>
      <w:lang w:val="el-GR"/>
    </w:rPr>
  </w:style>
  <w:style w:type="paragraph" w:styleId="BodyText3">
    <w:name w:val="Body Text 3"/>
    <w:basedOn w:val="Normal"/>
    <w:link w:val="BodyText3Char"/>
    <w:uiPriority w:val="99"/>
    <w:rsid w:val="001E2525"/>
    <w:pPr>
      <w:tabs>
        <w:tab w:val="left" w:pos="0"/>
        <w:tab w:val="left" w:pos="864"/>
        <w:tab w:val="left" w:pos="1440"/>
        <w:tab w:val="left" w:pos="2160"/>
        <w:tab w:val="left" w:pos="2880"/>
        <w:tab w:val="left" w:pos="3600"/>
        <w:tab w:val="left" w:pos="4320"/>
        <w:tab w:val="left" w:pos="5040"/>
        <w:tab w:val="left" w:pos="5760"/>
        <w:tab w:val="left" w:pos="6480"/>
        <w:tab w:val="left" w:pos="7200"/>
        <w:tab w:val="left" w:pos="8010"/>
        <w:tab w:val="left" w:pos="8640"/>
        <w:tab w:val="left" w:pos="9360"/>
        <w:tab w:val="left" w:pos="10080"/>
        <w:tab w:val="left" w:pos="10800"/>
        <w:tab w:val="left" w:pos="11520"/>
      </w:tabs>
      <w:jc w:val="both"/>
    </w:pPr>
  </w:style>
  <w:style w:type="character" w:customStyle="1" w:styleId="BodyText3Char">
    <w:name w:val="Body Text 3 Char"/>
    <w:basedOn w:val="DefaultParagraphFont"/>
    <w:link w:val="BodyText3"/>
    <w:uiPriority w:val="99"/>
    <w:semiHidden/>
    <w:locked/>
    <w:rsid w:val="00415781"/>
    <w:rPr>
      <w:rFonts w:cs="Times New Roman"/>
      <w:sz w:val="16"/>
      <w:szCs w:val="16"/>
      <w:lang w:val="en-US" w:eastAsia="en-US"/>
    </w:rPr>
  </w:style>
  <w:style w:type="character" w:styleId="PageNumber">
    <w:name w:val="page number"/>
    <w:basedOn w:val="DefaultParagraphFont"/>
    <w:uiPriority w:val="99"/>
    <w:rsid w:val="001E2525"/>
    <w:rPr>
      <w:rFonts w:cs="Times New Roman"/>
    </w:rPr>
  </w:style>
  <w:style w:type="paragraph" w:styleId="EnvelopeReturn">
    <w:name w:val="envelope return"/>
    <w:basedOn w:val="Normal"/>
    <w:uiPriority w:val="99"/>
    <w:rsid w:val="001E2525"/>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left" w:pos="1134"/>
      </w:tabs>
      <w:spacing w:line="280" w:lineRule="atLeast"/>
    </w:pPr>
    <w:rPr>
      <w:sz w:val="20"/>
    </w:rPr>
  </w:style>
  <w:style w:type="character" w:styleId="Hyperlink">
    <w:name w:val="Hyperlink"/>
    <w:basedOn w:val="DefaultParagraphFont"/>
    <w:uiPriority w:val="99"/>
    <w:rsid w:val="001E2525"/>
    <w:rPr>
      <w:rFonts w:cs="Times New Roman"/>
      <w:color w:val="0000FF"/>
      <w:u w:val="single"/>
    </w:rPr>
  </w:style>
  <w:style w:type="paragraph" w:customStyle="1" w:styleId="xl38">
    <w:name w:val="xl38"/>
    <w:basedOn w:val="Normal"/>
    <w:uiPriority w:val="99"/>
    <w:rsid w:val="001E2525"/>
    <w:pPr>
      <w:pBdr>
        <w:bottom w:val="single" w:sz="12" w:space="0" w:color="auto"/>
      </w:pBd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before="100" w:beforeAutospacing="1" w:after="100" w:afterAutospacing="1" w:line="240" w:lineRule="auto"/>
    </w:pPr>
    <w:rPr>
      <w:rFonts w:eastAsia="Arial Unicode MS" w:cs="Arial Unicode MS"/>
      <w:b/>
      <w:bCs/>
      <w:sz w:val="24"/>
      <w:szCs w:val="24"/>
      <w:lang w:val="el-GR" w:eastAsia="el-GR"/>
    </w:rPr>
  </w:style>
  <w:style w:type="paragraph" w:styleId="DocumentMap">
    <w:name w:val="Document Map"/>
    <w:basedOn w:val="Normal"/>
    <w:link w:val="DocumentMapChar"/>
    <w:uiPriority w:val="99"/>
    <w:semiHidden/>
    <w:rsid w:val="001E2525"/>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415781"/>
    <w:rPr>
      <w:rFonts w:cs="Times New Roman"/>
      <w:sz w:val="2"/>
      <w:lang w:val="en-US" w:eastAsia="en-US"/>
    </w:rPr>
  </w:style>
  <w:style w:type="paragraph" w:styleId="BodyText2">
    <w:name w:val="Body Text 2"/>
    <w:basedOn w:val="Normal"/>
    <w:link w:val="BodyText2Char"/>
    <w:rsid w:val="001E2525"/>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after="120" w:line="480" w:lineRule="auto"/>
    </w:pPr>
    <w:rPr>
      <w:sz w:val="24"/>
      <w:szCs w:val="24"/>
    </w:rPr>
  </w:style>
  <w:style w:type="character" w:customStyle="1" w:styleId="BodyText2Char">
    <w:name w:val="Body Text 2 Char"/>
    <w:basedOn w:val="DefaultParagraphFont"/>
    <w:link w:val="BodyText2"/>
    <w:semiHidden/>
    <w:locked/>
    <w:rsid w:val="00415781"/>
    <w:rPr>
      <w:rFonts w:cs="Times New Roman"/>
      <w:sz w:val="20"/>
      <w:szCs w:val="20"/>
      <w:lang w:val="en-US" w:eastAsia="en-US"/>
    </w:rPr>
  </w:style>
  <w:style w:type="paragraph" w:styleId="FootnoteText">
    <w:name w:val="footnote text"/>
    <w:basedOn w:val="Normal"/>
    <w:link w:val="FootnoteTextChar"/>
    <w:uiPriority w:val="99"/>
    <w:semiHidden/>
    <w:rsid w:val="001E2525"/>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overflowPunct w:val="0"/>
      <w:autoSpaceDE w:val="0"/>
      <w:autoSpaceDN w:val="0"/>
      <w:adjustRightInd w:val="0"/>
      <w:spacing w:line="240" w:lineRule="auto"/>
      <w:textAlignment w:val="baseline"/>
    </w:pPr>
    <w:rPr>
      <w:sz w:val="20"/>
      <w:lang w:val="el-GR" w:eastAsia="el-GR"/>
    </w:rPr>
  </w:style>
  <w:style w:type="character" w:customStyle="1" w:styleId="FootnoteTextChar">
    <w:name w:val="Footnote Text Char"/>
    <w:basedOn w:val="DefaultParagraphFont"/>
    <w:link w:val="FootnoteText"/>
    <w:uiPriority w:val="99"/>
    <w:semiHidden/>
    <w:locked/>
    <w:rsid w:val="00415781"/>
    <w:rPr>
      <w:rFonts w:cs="Times New Roman"/>
      <w:sz w:val="20"/>
      <w:szCs w:val="20"/>
      <w:lang w:val="en-US" w:eastAsia="en-US"/>
    </w:rPr>
  </w:style>
  <w:style w:type="paragraph" w:customStyle="1" w:styleId="Default">
    <w:name w:val="Default"/>
    <w:uiPriority w:val="99"/>
    <w:rsid w:val="001E2525"/>
    <w:pPr>
      <w:autoSpaceDE w:val="0"/>
      <w:autoSpaceDN w:val="0"/>
      <w:adjustRightInd w:val="0"/>
    </w:pPr>
    <w:rPr>
      <w:rFonts w:ascii="Arial" w:hAnsi="Arial" w:cs="Arial"/>
      <w:color w:val="000000"/>
      <w:sz w:val="24"/>
      <w:szCs w:val="24"/>
    </w:rPr>
  </w:style>
  <w:style w:type="paragraph" w:customStyle="1" w:styleId="1">
    <w:name w:val="Βασικό1"/>
    <w:basedOn w:val="Default"/>
    <w:next w:val="Default"/>
    <w:uiPriority w:val="99"/>
    <w:rsid w:val="001E2525"/>
    <w:rPr>
      <w:rFonts w:cs="Times New Roman"/>
      <w:color w:val="auto"/>
    </w:rPr>
  </w:style>
  <w:style w:type="paragraph" w:styleId="BlockText">
    <w:name w:val="Block Text"/>
    <w:basedOn w:val="Normal"/>
    <w:uiPriority w:val="99"/>
    <w:rsid w:val="001E2525"/>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567" w:right="-426"/>
      <w:jc w:val="both"/>
    </w:pPr>
    <w:rPr>
      <w:sz w:val="20"/>
      <w:szCs w:val="24"/>
      <w:lang w:val="el-GR"/>
    </w:rPr>
  </w:style>
  <w:style w:type="paragraph" w:customStyle="1" w:styleId="xl53">
    <w:name w:val="xl53"/>
    <w:basedOn w:val="Normal"/>
    <w:uiPriority w:val="99"/>
    <w:rsid w:val="001E2525"/>
    <w:pPr>
      <w:pBdr>
        <w:bottom w:val="single" w:sz="4" w:space="0" w:color="auto"/>
      </w:pBd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before="100" w:beforeAutospacing="1" w:after="100" w:afterAutospacing="1" w:line="240" w:lineRule="auto"/>
      <w:jc w:val="right"/>
      <w:textAlignment w:val="top"/>
    </w:pPr>
    <w:rPr>
      <w:rFonts w:eastAsia="Arial Unicode MS" w:cs="Arial Unicode MS"/>
      <w:sz w:val="24"/>
      <w:szCs w:val="24"/>
      <w:lang w:val="el-GR" w:eastAsia="el-GR"/>
    </w:rPr>
  </w:style>
  <w:style w:type="paragraph" w:customStyle="1" w:styleId="xl43">
    <w:name w:val="xl43"/>
    <w:basedOn w:val="Normal"/>
    <w:uiPriority w:val="99"/>
    <w:rsid w:val="001E2525"/>
    <w:pPr>
      <w:pBdr>
        <w:bottom w:val="single" w:sz="4" w:space="0" w:color="auto"/>
      </w:pBd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before="100" w:beforeAutospacing="1" w:after="100" w:afterAutospacing="1" w:line="240" w:lineRule="auto"/>
      <w:jc w:val="both"/>
      <w:textAlignment w:val="top"/>
    </w:pPr>
    <w:rPr>
      <w:rFonts w:eastAsia="Arial Unicode MS" w:cs="Arial Unicode MS"/>
      <w:b/>
      <w:bCs/>
      <w:sz w:val="24"/>
      <w:szCs w:val="24"/>
      <w:lang w:val="el-GR" w:eastAsia="el-GR"/>
    </w:rPr>
  </w:style>
  <w:style w:type="paragraph" w:styleId="Caption">
    <w:name w:val="caption"/>
    <w:basedOn w:val="Normal"/>
    <w:next w:val="Normal"/>
    <w:qFormat/>
    <w:rsid w:val="001E2525"/>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pPr>
    <w:rPr>
      <w:b/>
      <w:i/>
      <w:iCs/>
      <w:sz w:val="24"/>
      <w:szCs w:val="24"/>
      <w:lang w:val="el-GR" w:eastAsia="el-GR"/>
    </w:rPr>
  </w:style>
  <w:style w:type="paragraph" w:styleId="Title">
    <w:name w:val="Title"/>
    <w:basedOn w:val="Normal"/>
    <w:link w:val="TitleChar"/>
    <w:uiPriority w:val="99"/>
    <w:qFormat/>
    <w:rsid w:val="001E2525"/>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center"/>
    </w:pPr>
    <w:rPr>
      <w:b/>
      <w:sz w:val="26"/>
      <w:lang w:val="el-GR"/>
    </w:rPr>
  </w:style>
  <w:style w:type="character" w:customStyle="1" w:styleId="TitleChar">
    <w:name w:val="Title Char"/>
    <w:basedOn w:val="DefaultParagraphFont"/>
    <w:link w:val="Title"/>
    <w:uiPriority w:val="99"/>
    <w:locked/>
    <w:rsid w:val="00415781"/>
    <w:rPr>
      <w:rFonts w:ascii="Cambria" w:hAnsi="Cambria" w:cs="Times New Roman"/>
      <w:b/>
      <w:bCs/>
      <w:kern w:val="28"/>
      <w:sz w:val="32"/>
      <w:szCs w:val="32"/>
      <w:lang w:val="en-US" w:eastAsia="en-US"/>
    </w:rPr>
  </w:style>
  <w:style w:type="paragraph" w:customStyle="1" w:styleId="Body">
    <w:name w:val="Body"/>
    <w:aliases w:val="by"/>
    <w:basedOn w:val="Normal"/>
    <w:uiPriority w:val="99"/>
    <w:rsid w:val="001E2525"/>
    <w:pPr>
      <w:keepLines/>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after="260" w:line="260" w:lineRule="exact"/>
      <w:jc w:val="both"/>
    </w:pPr>
    <w:rPr>
      <w:lang w:val="el-GR"/>
    </w:rPr>
  </w:style>
  <w:style w:type="paragraph" w:customStyle="1" w:styleId="Salutation1">
    <w:name w:val="Salutation1"/>
    <w:aliases w:val="sal"/>
    <w:basedOn w:val="Normal"/>
    <w:next w:val="Normal"/>
    <w:uiPriority w:val="99"/>
    <w:rsid w:val="001E2525"/>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after="260" w:line="260" w:lineRule="exact"/>
    </w:pPr>
    <w:rPr>
      <w:lang w:val="el-GR"/>
    </w:rPr>
  </w:style>
  <w:style w:type="paragraph" w:customStyle="1" w:styleId="ClosingSalutation">
    <w:name w:val="Closing Salutation"/>
    <w:aliases w:val="cls"/>
    <w:basedOn w:val="Normal"/>
    <w:next w:val="Normal"/>
    <w:uiPriority w:val="99"/>
    <w:rsid w:val="001E2525"/>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after="1040" w:line="260" w:lineRule="exact"/>
    </w:pPr>
    <w:rPr>
      <w:lang w:val="el-GR"/>
    </w:rPr>
  </w:style>
  <w:style w:type="paragraph" w:customStyle="1" w:styleId="zKISOffAddress">
    <w:name w:val="zKISOffAddress"/>
    <w:basedOn w:val="Normal"/>
    <w:uiPriority w:val="99"/>
    <w:rsid w:val="001E2525"/>
    <w:pPr>
      <w:framePr w:hSpace="215" w:wrap="around" w:vAnchor="page" w:hAnchor="page" w:x="4282" w:y="1294"/>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190" w:lineRule="exact"/>
    </w:pPr>
    <w:rPr>
      <w:rFonts w:ascii="Univers 45 Light" w:hAnsi="Univers 45 Light"/>
      <w:sz w:val="15"/>
    </w:rPr>
  </w:style>
  <w:style w:type="paragraph" w:customStyle="1" w:styleId="zKISDescFooter">
    <w:name w:val="zKISDescFooter"/>
    <w:basedOn w:val="Normal"/>
    <w:uiPriority w:val="99"/>
    <w:rsid w:val="001E2525"/>
    <w:pPr>
      <w:framePr w:hSpace="284" w:wrap="around" w:vAnchor="page" w:hAnchor="page" w:x="4282" w:y="15905"/>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130" w:lineRule="exact"/>
    </w:pPr>
    <w:rPr>
      <w:rFonts w:ascii="Univers 45 Light" w:hAnsi="Univers 45 Light"/>
      <w:sz w:val="11"/>
    </w:rPr>
  </w:style>
  <w:style w:type="table" w:styleId="TableGrid">
    <w:name w:val="Table Grid"/>
    <w:basedOn w:val="TableNormal"/>
    <w:uiPriority w:val="99"/>
    <w:rsid w:val="00810A8E"/>
    <w:pPr>
      <w:spacing w:line="260" w:lineRule="atLeast"/>
    </w:pPr>
    <w:rPr>
      <w:rFonts w:ascii="CG Times (W1)" w:hAnsi="CG Times (W1)"/>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gnature">
    <w:name w:val="Signature"/>
    <w:basedOn w:val="Normal"/>
    <w:link w:val="SignatureChar"/>
    <w:uiPriority w:val="99"/>
    <w:rsid w:val="001E2525"/>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pPr>
  </w:style>
  <w:style w:type="character" w:customStyle="1" w:styleId="SignatureChar">
    <w:name w:val="Signature Char"/>
    <w:basedOn w:val="DefaultParagraphFont"/>
    <w:link w:val="Signature"/>
    <w:uiPriority w:val="99"/>
    <w:semiHidden/>
    <w:locked/>
    <w:rsid w:val="00415781"/>
    <w:rPr>
      <w:rFonts w:cs="Times New Roman"/>
      <w:sz w:val="20"/>
      <w:szCs w:val="20"/>
      <w:lang w:val="en-US" w:eastAsia="en-US"/>
    </w:rPr>
  </w:style>
  <w:style w:type="character" w:styleId="FollowedHyperlink">
    <w:name w:val="FollowedHyperlink"/>
    <w:basedOn w:val="DefaultParagraphFont"/>
    <w:uiPriority w:val="99"/>
    <w:rsid w:val="001E2525"/>
    <w:rPr>
      <w:rFonts w:cs="Times New Roman"/>
      <w:color w:val="606420"/>
      <w:u w:val="single"/>
    </w:rPr>
  </w:style>
  <w:style w:type="paragraph" w:customStyle="1" w:styleId="BalloonText1">
    <w:name w:val="Balloon Text1"/>
    <w:basedOn w:val="Normal"/>
    <w:uiPriority w:val="99"/>
    <w:semiHidden/>
    <w:rsid w:val="001E2525"/>
    <w:rPr>
      <w:rFonts w:ascii="Tahoma" w:hAnsi="Tahoma" w:cs="Tahoma"/>
      <w:sz w:val="16"/>
      <w:szCs w:val="16"/>
    </w:rPr>
  </w:style>
  <w:style w:type="paragraph" w:styleId="ListParagraph">
    <w:name w:val="List Paragraph"/>
    <w:basedOn w:val="Normal"/>
    <w:uiPriority w:val="99"/>
    <w:qFormat/>
    <w:rsid w:val="00FB2EA9"/>
    <w:pPr>
      <w:ind w:left="720"/>
      <w:contextualSpacing/>
    </w:pPr>
  </w:style>
  <w:style w:type="character" w:customStyle="1" w:styleId="longtext1">
    <w:name w:val="long_text1"/>
    <w:basedOn w:val="DefaultParagraphFont"/>
    <w:uiPriority w:val="99"/>
    <w:rsid w:val="00591098"/>
    <w:rPr>
      <w:rFonts w:cs="Times New Roman"/>
      <w:sz w:val="18"/>
      <w:szCs w:val="18"/>
    </w:rPr>
  </w:style>
  <w:style w:type="paragraph" w:styleId="BalloonText">
    <w:name w:val="Balloon Text"/>
    <w:basedOn w:val="Normal"/>
    <w:link w:val="BalloonTextChar"/>
    <w:uiPriority w:val="99"/>
    <w:rsid w:val="002370F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2370F5"/>
    <w:rPr>
      <w:rFonts w:ascii="Tahoma" w:hAnsi="Tahoma" w:cs="Tahoma"/>
      <w:sz w:val="16"/>
      <w:szCs w:val="16"/>
      <w:lang w:val="en-US" w:eastAsia="en-US"/>
    </w:rPr>
  </w:style>
  <w:style w:type="paragraph" w:customStyle="1" w:styleId="058">
    <w:name w:val="Στυλ Πλήρης Αριστερά:  058 εκ."/>
    <w:basedOn w:val="Normal"/>
    <w:autoRedefine/>
    <w:uiPriority w:val="99"/>
    <w:rsid w:val="002370F5"/>
    <w:pPr>
      <w:framePr w:hSpace="180" w:wrap="around" w:vAnchor="text" w:hAnchor="text" w:xAlign="center" w:y="1"/>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suppressOverlap/>
      <w:jc w:val="both"/>
    </w:pPr>
    <w:rPr>
      <w:rFonts w:eastAsia="Arial Unicode MS"/>
      <w:sz w:val="18"/>
      <w:szCs w:val="17"/>
      <w:lang w:val="el-GR" w:eastAsia="el-GR"/>
    </w:rPr>
  </w:style>
  <w:style w:type="paragraph" w:customStyle="1" w:styleId="10">
    <w:name w:val="Στυλ1"/>
    <w:basedOn w:val="Normal"/>
    <w:uiPriority w:val="99"/>
    <w:rsid w:val="006D47A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before="240" w:after="120" w:line="240" w:lineRule="auto"/>
      <w:jc w:val="both"/>
    </w:pPr>
    <w:rPr>
      <w:rFonts w:ascii="Arial" w:eastAsia="Arial Unicode MS" w:hAnsi="Arial" w:cs="Arial"/>
      <w:sz w:val="20"/>
      <w:szCs w:val="16"/>
      <w:lang w:val="el-GR"/>
    </w:rPr>
  </w:style>
  <w:style w:type="paragraph" w:styleId="NormalWeb">
    <w:name w:val="Normal (Web)"/>
    <w:basedOn w:val="Normal"/>
    <w:uiPriority w:val="99"/>
    <w:rsid w:val="0021434F"/>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before="100" w:beforeAutospacing="1" w:after="100" w:afterAutospacing="1" w:line="240" w:lineRule="auto"/>
    </w:pPr>
    <w:rPr>
      <w:sz w:val="24"/>
      <w:szCs w:val="24"/>
      <w:lang w:val="el-GR" w:eastAsia="el-GR"/>
    </w:rPr>
  </w:style>
  <w:style w:type="paragraph" w:customStyle="1" w:styleId="Subject">
    <w:name w:val="Subject"/>
    <w:basedOn w:val="Normal"/>
    <w:uiPriority w:val="99"/>
    <w:rsid w:val="00574569"/>
    <w:pPr>
      <w:keepNext/>
      <w:keepLines/>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90" w:lineRule="atLeast"/>
    </w:pPr>
    <w:rPr>
      <w:b/>
      <w:sz w:val="24"/>
      <w:lang w:val="en-GB"/>
    </w:rPr>
  </w:style>
</w:styles>
</file>

<file path=word/webSettings.xml><?xml version="1.0" encoding="utf-8"?>
<w:webSettings xmlns:r="http://schemas.openxmlformats.org/officeDocument/2006/relationships" xmlns:w="http://schemas.openxmlformats.org/wordprocessingml/2006/main">
  <w:divs>
    <w:div w:id="1041326512">
      <w:marLeft w:val="0"/>
      <w:marRight w:val="0"/>
      <w:marTop w:val="0"/>
      <w:marBottom w:val="0"/>
      <w:divBdr>
        <w:top w:val="none" w:sz="0" w:space="0" w:color="auto"/>
        <w:left w:val="none" w:sz="0" w:space="0" w:color="auto"/>
        <w:bottom w:val="none" w:sz="0" w:space="0" w:color="auto"/>
        <w:right w:val="none" w:sz="0" w:space="0" w:color="auto"/>
      </w:divBdr>
    </w:div>
    <w:div w:id="1041326513">
      <w:marLeft w:val="0"/>
      <w:marRight w:val="0"/>
      <w:marTop w:val="0"/>
      <w:marBottom w:val="0"/>
      <w:divBdr>
        <w:top w:val="none" w:sz="0" w:space="0" w:color="auto"/>
        <w:left w:val="none" w:sz="0" w:space="0" w:color="auto"/>
        <w:bottom w:val="none" w:sz="0" w:space="0" w:color="auto"/>
        <w:right w:val="none" w:sz="0" w:space="0" w:color="auto"/>
      </w:divBdr>
    </w:div>
    <w:div w:id="1041326514">
      <w:marLeft w:val="0"/>
      <w:marRight w:val="0"/>
      <w:marTop w:val="0"/>
      <w:marBottom w:val="0"/>
      <w:divBdr>
        <w:top w:val="none" w:sz="0" w:space="0" w:color="auto"/>
        <w:left w:val="none" w:sz="0" w:space="0" w:color="auto"/>
        <w:bottom w:val="none" w:sz="0" w:space="0" w:color="auto"/>
        <w:right w:val="none" w:sz="0" w:space="0" w:color="auto"/>
      </w:divBdr>
    </w:div>
    <w:div w:id="1041326515">
      <w:marLeft w:val="0"/>
      <w:marRight w:val="0"/>
      <w:marTop w:val="0"/>
      <w:marBottom w:val="0"/>
      <w:divBdr>
        <w:top w:val="none" w:sz="0" w:space="0" w:color="auto"/>
        <w:left w:val="none" w:sz="0" w:space="0" w:color="auto"/>
        <w:bottom w:val="none" w:sz="0" w:space="0" w:color="auto"/>
        <w:right w:val="none" w:sz="0" w:space="0" w:color="auto"/>
      </w:divBdr>
    </w:div>
    <w:div w:id="1041326516">
      <w:marLeft w:val="0"/>
      <w:marRight w:val="0"/>
      <w:marTop w:val="0"/>
      <w:marBottom w:val="0"/>
      <w:divBdr>
        <w:top w:val="none" w:sz="0" w:space="0" w:color="auto"/>
        <w:left w:val="none" w:sz="0" w:space="0" w:color="auto"/>
        <w:bottom w:val="none" w:sz="0" w:space="0" w:color="auto"/>
        <w:right w:val="none" w:sz="0" w:space="0" w:color="auto"/>
      </w:divBdr>
    </w:div>
    <w:div w:id="1041326517">
      <w:marLeft w:val="0"/>
      <w:marRight w:val="0"/>
      <w:marTop w:val="0"/>
      <w:marBottom w:val="0"/>
      <w:divBdr>
        <w:top w:val="none" w:sz="0" w:space="0" w:color="auto"/>
        <w:left w:val="none" w:sz="0" w:space="0" w:color="auto"/>
        <w:bottom w:val="none" w:sz="0" w:space="0" w:color="auto"/>
        <w:right w:val="none" w:sz="0" w:space="0" w:color="auto"/>
      </w:divBdr>
    </w:div>
    <w:div w:id="10413265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http://www.ateleasing.gr" TargetMode="Externa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oleObject" Target="embeddings/Microsoft_Office_Word_97_-_2003_Document1.doc"/><Relationship Id="rId1" Type="http://schemas.openxmlformats.org/officeDocument/2006/relationships/image" Target="media/image2.emf"/></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oleObject" Target="embeddings/Microsoft_Office_Word_97_-_2003_Document2.doc"/><Relationship Id="rId1" Type="http://schemas.openxmlformats.org/officeDocument/2006/relationships/image" Target="media/image2.emf"/></Relationships>
</file>

<file path=word/_rels/header7.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2" Type="http://schemas.openxmlformats.org/officeDocument/2006/relationships/oleObject" Target="embeddings/Microsoft_Office_Word_97_-_2003_Document3.doc"/><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12503</Words>
  <Characters>71268</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83604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Fenia Ntokou</dc:creator>
  <cp:lastModifiedBy>Windows User</cp:lastModifiedBy>
  <cp:revision>2</cp:revision>
  <cp:lastPrinted>2013-05-20T09:16:00Z</cp:lastPrinted>
  <dcterms:created xsi:type="dcterms:W3CDTF">2013-05-20T12:48:00Z</dcterms:created>
  <dcterms:modified xsi:type="dcterms:W3CDTF">2013-05-20T12:48:00Z</dcterms:modified>
</cp:coreProperties>
</file>